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10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24"/>
        <w:gridCol w:w="1120"/>
        <w:gridCol w:w="1347"/>
        <w:gridCol w:w="1266"/>
        <w:gridCol w:w="1178"/>
        <w:gridCol w:w="1200"/>
        <w:gridCol w:w="1147"/>
        <w:gridCol w:w="1280"/>
      </w:tblGrid>
      <w:tr w:rsidR="00425A11" w:rsidRPr="00425A11" w:rsidTr="00500A4C">
        <w:trPr>
          <w:trHeight w:val="20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Aktywa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bieżący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poprzedni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Odchylenie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425A11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  <w:p w:rsidR="00D205AE" w:rsidRPr="00A67AEA" w:rsidRDefault="00D205AE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struktury</w:t>
            </w:r>
          </w:p>
        </w:tc>
      </w:tr>
      <w:tr w:rsidR="003E278D" w:rsidRPr="00425A11" w:rsidTr="00500A4C">
        <w:trPr>
          <w:trHeight w:val="20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bieżący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ubiegły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</w:tr>
      <w:tr w:rsidR="003E278D" w:rsidRPr="00425A11" w:rsidTr="00500A4C">
        <w:trPr>
          <w:trHeight w:val="2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E278D" w:rsidRPr="00425A11" w:rsidTr="00500A4C">
        <w:trPr>
          <w:trHeight w:val="4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Aktywa trwałe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907 783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727 639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180144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EA" w:rsidRPr="00A67AEA" w:rsidRDefault="00A67AEA" w:rsidP="003E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2,05</w:t>
            </w:r>
          </w:p>
        </w:tc>
      </w:tr>
      <w:tr w:rsidR="003E278D" w:rsidRPr="00425A11" w:rsidTr="00500A4C">
        <w:trPr>
          <w:trHeight w:val="4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Aktywa obrotowe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896 371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779 806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116565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AEA" w:rsidRPr="00A67AEA" w:rsidRDefault="00A67AEA" w:rsidP="003E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49,68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-2,05</w:t>
            </w:r>
          </w:p>
        </w:tc>
      </w:tr>
      <w:tr w:rsidR="00425A11" w:rsidRPr="00425A11" w:rsidTr="00500A4C">
        <w:trPr>
          <w:trHeight w:val="2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1 804 154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1 507 445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296709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D205AE" w:rsidRPr="00D205AE" w:rsidRDefault="00D205AE" w:rsidP="00D205AE">
      <w:pPr>
        <w:spacing w:before="240" w:after="120"/>
        <w:rPr>
          <w:b/>
        </w:rPr>
      </w:pPr>
      <w:r w:rsidRPr="00D205AE">
        <w:rPr>
          <w:b/>
        </w:rPr>
        <w:t>Zadanie 1. W oparciu o dane ze sprawozdania bilansu przeprowadź analizę zmian  struktury aktywów oraz pasywów, wyciągnij wnioski.</w:t>
      </w:r>
    </w:p>
    <w:p w:rsidR="00A67AEA" w:rsidRDefault="00D205AE" w:rsidP="00D205AE">
      <w:pPr>
        <w:spacing w:before="240" w:after="120"/>
        <w:ind w:firstLine="708"/>
        <w:jc w:val="both"/>
      </w:pPr>
      <w:r>
        <w:t xml:space="preserve">Po stronie aktywów trwałych obserwujemy wzrost  o 180 144 zł w stosunku do roku poprzedniego, z kolei w aktywach obrotowych obserwujemy mniejszy przyrost majątku wynoszący 116 565 zł. Kolumna dynamika pozwala nam zauważyć tempo wzrostu w obu przypadkach. W wypadku aktywów trwałych wzrost ten następuje szybciej niż w aktywach obrotowych. Tempo wzrostu to </w:t>
      </w:r>
      <w:bookmarkStart w:id="0" w:name="_GoBack"/>
      <w:bookmarkEnd w:id="0"/>
      <w:r>
        <w:t>odpowiednio 24,76% oraz 14,95%. Po przypatrzeniu się we wskaźniki struktury możemy stwierdzić, że w roku bieżącym większość aktywów w bilansie stanowią aktywa trwałe (wzrost o 2,05%). Natomiast w poprzednim roku to aktywa obrotowe były pozycją stanowiącą większość w bilansie.</w:t>
      </w:r>
    </w:p>
    <w:tbl>
      <w:tblPr>
        <w:tblW w:w="106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54"/>
        <w:gridCol w:w="1170"/>
        <w:gridCol w:w="1383"/>
        <w:gridCol w:w="1277"/>
        <w:gridCol w:w="1188"/>
        <w:gridCol w:w="1182"/>
        <w:gridCol w:w="1138"/>
        <w:gridCol w:w="1234"/>
      </w:tblGrid>
      <w:tr w:rsidR="00425A11" w:rsidRPr="00425A11" w:rsidTr="00500A4C">
        <w:trPr>
          <w:trHeight w:val="20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D2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D205AE" w:rsidRPr="0042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asywa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bieżący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poprzedni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Odchylenie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425A11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Dynamika</w:t>
            </w:r>
          </w:p>
          <w:p w:rsidR="00D205AE" w:rsidRPr="00A67AEA" w:rsidRDefault="00D205AE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Struktura</w:t>
            </w:r>
          </w:p>
        </w:tc>
      </w:tr>
      <w:tr w:rsidR="00425A11" w:rsidRPr="00425A11" w:rsidTr="00500A4C">
        <w:trPr>
          <w:trHeight w:val="20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bieżący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ubiegły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</w:tr>
      <w:tr w:rsidR="00425A11" w:rsidRPr="00425A11" w:rsidTr="00500A4C">
        <w:trPr>
          <w:trHeight w:val="2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425A11" w:rsidRPr="00425A11" w:rsidTr="00500A4C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Kapitał własny i rezerwowy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1 440 559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1 303 210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79,85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-6,60</w:t>
            </w:r>
          </w:p>
        </w:tc>
      </w:tr>
      <w:tr w:rsidR="00425A11" w:rsidRPr="00425A11" w:rsidTr="00500A4C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425A11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67AEA" w:rsidRPr="00A67AEA" w:rsidRDefault="00A67AEA" w:rsidP="003E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Rezerwy i zobowiązania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363 593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204 235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159358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="00425A11" w:rsidRPr="00425A11" w:rsidTr="00500A4C">
        <w:trPr>
          <w:trHeight w:val="20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1804152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1507445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EA" w:rsidRPr="00A67AEA" w:rsidRDefault="00A67AEA" w:rsidP="00A6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500A4C" w:rsidRDefault="003E278D" w:rsidP="003E278D">
      <w:pPr>
        <w:spacing w:before="240" w:after="120"/>
        <w:ind w:firstLine="708"/>
        <w:jc w:val="both"/>
        <w:sectPr w:rsidR="00500A4C" w:rsidSect="00425A11">
          <w:pgSz w:w="11906" w:h="16838"/>
          <w:pgMar w:top="820" w:right="851" w:bottom="993" w:left="567" w:header="708" w:footer="708" w:gutter="0"/>
          <w:cols w:space="708"/>
          <w:docGrid w:linePitch="360"/>
        </w:sectPr>
      </w:pPr>
      <w:r>
        <w:t xml:space="preserve">Po stronie </w:t>
      </w:r>
      <w:r>
        <w:t>pasywów własnych (kapitał własny i rezerwowy)</w:t>
      </w:r>
      <w:r>
        <w:t xml:space="preserve"> obserwujemy wzrost  o </w:t>
      </w:r>
      <w:r>
        <w:t>137 349</w:t>
      </w:r>
      <w:r>
        <w:t xml:space="preserve"> zł </w:t>
      </w:r>
      <w:r>
        <w:t>w stosunku do roku poprzedniego.</w:t>
      </w:r>
      <w:r>
        <w:t xml:space="preserve"> </w:t>
      </w:r>
      <w:r>
        <w:t>W</w:t>
      </w:r>
      <w:r>
        <w:t xml:space="preserve"> </w:t>
      </w:r>
      <w:r>
        <w:t>pasywach obcych (rezerwy i zobowiązania)</w:t>
      </w:r>
      <w:r>
        <w:t xml:space="preserve"> obserwujemy </w:t>
      </w:r>
      <w:r>
        <w:t xml:space="preserve">większy wzrost </w:t>
      </w:r>
      <w:r>
        <w:t xml:space="preserve">wynoszący </w:t>
      </w:r>
      <w:r>
        <w:t>159 358</w:t>
      </w:r>
      <w:r>
        <w:t xml:space="preserve"> zł. Kolumna dynamika pozwala nam zauważyć tempo wzrostu w obu przypadkach. W wypadku </w:t>
      </w:r>
      <w:r>
        <w:t>kapitału własnego tempo wzrostu jest dużo mniejsze niż tempo wzrostu rezerw i zobowiązań</w:t>
      </w:r>
      <w:r>
        <w:t xml:space="preserve">. Tempo wzrostu </w:t>
      </w:r>
      <w:r>
        <w:t>kapitału obcego jest równy 78,03%.</w:t>
      </w:r>
      <w:r>
        <w:t xml:space="preserve"> Po przypatrzeniu się we wskaźniki struktury możemy stwierdzić, że w roku bieżącym </w:t>
      </w:r>
      <w:r>
        <w:t>większość stanowi kapitał obcy</w:t>
      </w:r>
      <w:r>
        <w:t xml:space="preserve"> (wzrost o </w:t>
      </w:r>
      <w:r>
        <w:t>6,60</w:t>
      </w:r>
      <w:r>
        <w:t xml:space="preserve">%). Natomiast w poprzednim roku to </w:t>
      </w:r>
      <w:r>
        <w:t>kapitał własny i rezerwowy</w:t>
      </w:r>
      <w:r>
        <w:t xml:space="preserve"> były pozycją stanowiącą większość w bilansie.</w:t>
      </w:r>
    </w:p>
    <w:p w:rsidR="003E278D" w:rsidRPr="003E278D" w:rsidRDefault="00425A11" w:rsidP="003E278D">
      <w:pPr>
        <w:spacing w:before="240" w:after="120"/>
        <w:jc w:val="both"/>
        <w:rPr>
          <w:b/>
        </w:rPr>
      </w:pPr>
      <w:r w:rsidRPr="003E278D">
        <w:rPr>
          <w:b/>
        </w:rPr>
        <w:lastRenderedPageBreak/>
        <w:t>Zadanie 2.  Przeprowadź analizę sprawozdana rachunku zysków i strat (wersja porównawcza), oblicz kategorie zysku lub strat i sformu</w:t>
      </w:r>
      <w:r w:rsidR="00500A4C">
        <w:rPr>
          <w:b/>
        </w:rPr>
        <w:t xml:space="preserve">łuj wnioski. Sposób wyliczania </w:t>
      </w:r>
      <w:r w:rsidRPr="003E278D">
        <w:rPr>
          <w:b/>
        </w:rPr>
        <w:t>kategorii zysków i strat podany w sprawozdaniu. Wskaźnik inflacji dla roku ubiegłego = 2,5%</w:t>
      </w:r>
      <w:r>
        <w:rPr>
          <w:b/>
        </w:rPr>
        <w:t>.</w:t>
      </w:r>
    </w:p>
    <w:tbl>
      <w:tblPr>
        <w:tblpPr w:leftFromText="141" w:rightFromText="141" w:vertAnchor="page" w:horzAnchor="margin" w:tblpXSpec="center" w:tblpY="1711"/>
        <w:tblW w:w="16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812"/>
        <w:gridCol w:w="1100"/>
        <w:gridCol w:w="999"/>
        <w:gridCol w:w="1207"/>
        <w:gridCol w:w="1778"/>
        <w:gridCol w:w="1405"/>
        <w:gridCol w:w="1378"/>
        <w:gridCol w:w="1914"/>
        <w:gridCol w:w="1828"/>
        <w:gridCol w:w="1561"/>
        <w:gridCol w:w="877"/>
      </w:tblGrid>
      <w:tr w:rsidR="00500A4C" w:rsidRPr="003E278D" w:rsidTr="00500A4C">
        <w:trPr>
          <w:trHeight w:val="15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Wyniki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bieżący (wyk)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ubiegły (plan)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Odchylenie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Wskaźnik dynamiki     </w:t>
            </w:r>
          </w:p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Rok ubiegły po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korekcie inflacyjnej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Odchylenie skorygowane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dynamiki skorygowany %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Wskaźniki struktury</w:t>
            </w:r>
          </w:p>
        </w:tc>
      </w:tr>
      <w:tr w:rsidR="00500A4C" w:rsidRPr="003E278D" w:rsidTr="00500A4C">
        <w:trPr>
          <w:trHeight w:val="47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badany 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ubiegły 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</w:tr>
      <w:tr w:rsidR="00500A4C" w:rsidRPr="003E278D" w:rsidTr="00500A4C">
        <w:trPr>
          <w:trHeight w:val="15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0A4C" w:rsidRPr="003E278D" w:rsidTr="00500A4C">
        <w:trPr>
          <w:trHeight w:val="47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netto ze sprzedaży produktów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665 927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945 697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-279770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969339,425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-23 642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68,70%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997 412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1 045 146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-47734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1071274,65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-26 129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93,11%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39,26</w:t>
            </w: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zysk (strata) ze sprzedaży </w:t>
            </w:r>
          </w:p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(A-B)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-331 485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-99 449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-232036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333,32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-101935,225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325,19%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-49,78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-10,52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-39,26</w:t>
            </w: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662 562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179 637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482925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184127,925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-4 491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359,84%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18,9952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80,50</w:t>
            </w: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199572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46620,28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439,725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45483,20%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0,045363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29,99</w:t>
            </w:r>
          </w:p>
        </w:tc>
      </w:tr>
      <w:tr w:rsidR="00500A4C" w:rsidRPr="003E278D" w:rsidTr="00500A4C">
        <w:trPr>
          <w:trHeight w:val="47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za działalność operacyjną (C+D-E)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131 076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79 759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81752,975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-1 994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160,33%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11,25</w:t>
            </w: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15 768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14 631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107,77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14996,775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105,14%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1,547113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0,82</w:t>
            </w:r>
          </w:p>
        </w:tc>
      </w:tr>
      <w:tr w:rsidR="00500A4C" w:rsidRPr="003E278D" w:rsidTr="00500A4C">
        <w:trPr>
          <w:trHeight w:val="15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0,01</w:t>
            </w:r>
          </w:p>
        </w:tc>
      </w:tr>
      <w:tr w:rsidR="00500A4C" w:rsidRPr="003E278D" w:rsidTr="00500A4C">
        <w:trPr>
          <w:trHeight w:val="63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za działalność gospodarczą (F+G-H)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146 789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94 390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96749,75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-2 360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151,72%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12,06</w:t>
            </w: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zdarzeń nadzwyczajnych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zysk (strata) brutto </w:t>
            </w:r>
          </w:p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(I+/-J)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146 789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94 390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96749,75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-2 360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151,72%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12,06</w:t>
            </w:r>
          </w:p>
        </w:tc>
      </w:tr>
      <w:tr w:rsidR="00500A4C" w:rsidRPr="003E278D" w:rsidTr="00500A4C">
        <w:trPr>
          <w:trHeight w:val="15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dochodowy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obroty zmniejszające zysk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00A4C" w:rsidRPr="003E278D" w:rsidTr="00500A4C">
        <w:trPr>
          <w:trHeight w:val="3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zysk (strata) netto </w:t>
            </w:r>
          </w:p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(K-L-M)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146 789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94 390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96749,75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-2 360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151,72%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500A4C" w:rsidRPr="003E278D" w:rsidRDefault="00500A4C" w:rsidP="0050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12,06</w:t>
            </w:r>
          </w:p>
        </w:tc>
      </w:tr>
    </w:tbl>
    <w:p w:rsidR="00425A11" w:rsidRDefault="00425A11" w:rsidP="003E278D">
      <w:pPr>
        <w:spacing w:before="240" w:after="120"/>
        <w:ind w:firstLine="708"/>
        <w:jc w:val="both"/>
        <w:sectPr w:rsidR="00425A11" w:rsidSect="00500A4C">
          <w:pgSz w:w="16838" w:h="11906" w:orient="landscape"/>
          <w:pgMar w:top="851" w:right="993" w:bottom="567" w:left="820" w:header="708" w:footer="708" w:gutter="0"/>
          <w:cols w:space="708"/>
          <w:docGrid w:linePitch="360"/>
        </w:sectPr>
      </w:pPr>
    </w:p>
    <w:p w:rsidR="007D3891" w:rsidRPr="00A67AEA" w:rsidRDefault="003E278D" w:rsidP="00425A11">
      <w:pPr>
        <w:ind w:firstLine="708"/>
        <w:jc w:val="both"/>
      </w:pPr>
      <w:r>
        <w:lastRenderedPageBreak/>
        <w:t xml:space="preserve">W roku badanym (bieżącym) obserwujemy wzrost w pozycjach: </w:t>
      </w:r>
      <w:r w:rsidR="00425A11">
        <w:t>pozostałe przychody operacyjne  oraz przychody finansowe. Wzrost w tych pozycjach przyczynia się do wzrostu zysku netto pod koniec tabeli. Zysk netto jest wyższy o 52 399 zł w porównaniu do roku ubiegłego. Największe tempo wzrostu można zauważyć przy pozostałych przychodach operacyjnych, co również pozwala na zachowanie dodatniego tempra wzrostu przy zysku netto. W kolejnej kolumnie zamieszczono wartości z kolumny drugiej (rok ubiegły) skorygowany o inflację wynoszącą 2,6%. Inflacja wprowadza sporo wartości ujemnych w zestawieniu. W zysku netto po skorygowaniu o inflację w kolumnie dynamika po skorygowaniu zmniejsza się o 3,38 punktu procentowego. We wskaźnikach struktury obserwujemy wielkości dodatnie, jedynym wyjątkiem jest zysk (strata) ze sprzedaży. Ogólny wskaźnik struktury przy zysku netto jest dodatni i wynosi 12,06% w roku bieżącym do roku ubiegłego.</w:t>
      </w:r>
    </w:p>
    <w:sectPr w:rsidR="007D3891" w:rsidRPr="00A67AEA" w:rsidSect="00425A11">
      <w:pgSz w:w="11906" w:h="16838"/>
      <w:pgMar w:top="993" w:right="1417" w:bottom="8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02" w:rsidRDefault="00281602" w:rsidP="00D205AE">
      <w:pPr>
        <w:spacing w:after="0" w:line="240" w:lineRule="auto"/>
      </w:pPr>
      <w:r>
        <w:separator/>
      </w:r>
    </w:p>
  </w:endnote>
  <w:endnote w:type="continuationSeparator" w:id="0">
    <w:p w:rsidR="00281602" w:rsidRDefault="00281602" w:rsidP="00D2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02" w:rsidRDefault="00281602" w:rsidP="00D205AE">
      <w:pPr>
        <w:spacing w:after="0" w:line="240" w:lineRule="auto"/>
      </w:pPr>
      <w:r>
        <w:separator/>
      </w:r>
    </w:p>
  </w:footnote>
  <w:footnote w:type="continuationSeparator" w:id="0">
    <w:p w:rsidR="00281602" w:rsidRDefault="00281602" w:rsidP="00D20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A"/>
    <w:rsid w:val="00281602"/>
    <w:rsid w:val="003E278D"/>
    <w:rsid w:val="00425A11"/>
    <w:rsid w:val="00500A4C"/>
    <w:rsid w:val="007D3891"/>
    <w:rsid w:val="00A67AEA"/>
    <w:rsid w:val="00D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B69E-2078-47AE-8811-88756D2E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AE"/>
  </w:style>
  <w:style w:type="paragraph" w:styleId="Stopka">
    <w:name w:val="footer"/>
    <w:basedOn w:val="Normalny"/>
    <w:link w:val="StopkaZnak"/>
    <w:uiPriority w:val="99"/>
    <w:unhideWhenUsed/>
    <w:rsid w:val="00D2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Mihułka</dc:creator>
  <cp:keywords/>
  <dc:description/>
  <cp:lastModifiedBy>Katarzyna Mihułka</cp:lastModifiedBy>
  <cp:revision>1</cp:revision>
  <dcterms:created xsi:type="dcterms:W3CDTF">2016-06-14T14:28:00Z</dcterms:created>
  <dcterms:modified xsi:type="dcterms:W3CDTF">2016-06-14T15:39:00Z</dcterms:modified>
</cp:coreProperties>
</file>