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61" w:rsidRPr="00241E26" w:rsidRDefault="000B5361" w:rsidP="000B536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E26">
        <w:rPr>
          <w:rFonts w:ascii="Times New Roman" w:hAnsi="Times New Roman" w:cs="Times New Roman"/>
          <w:b/>
          <w:sz w:val="32"/>
          <w:szCs w:val="24"/>
        </w:rPr>
        <w:t>RYNEK MLEKA I PRZETWORÓW MLECZARSKICH</w:t>
      </w:r>
    </w:p>
    <w:p w:rsidR="000F18BA" w:rsidRPr="00241E26" w:rsidRDefault="000F18BA" w:rsidP="000F18BA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t>Tab. 1. Wyszczególnienie pogłowia bydł</w:t>
      </w:r>
      <w:r w:rsidR="00497029" w:rsidRPr="00241E26">
        <w:rPr>
          <w:rFonts w:ascii="Times New Roman" w:hAnsi="Times New Roman" w:cs="Times New Roman"/>
          <w:b/>
          <w:sz w:val="20"/>
          <w:szCs w:val="24"/>
        </w:rPr>
        <w:t>a mlecznego w latach 1990 – 2014</w:t>
      </w:r>
    </w:p>
    <w:tbl>
      <w:tblPr>
        <w:tblW w:w="1267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0F18BA" w:rsidRPr="00497029" w:rsidTr="00497029">
        <w:trPr>
          <w:trHeight w:val="30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/Lata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0F18BA" w:rsidRPr="00497029" w:rsidTr="00241E26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241E26" w:rsidP="000F1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0F18BA"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ogłowie bydła mlecznego [</w:t>
            </w:r>
            <w:r w:rsidR="00497029"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tys.</w:t>
            </w:r>
            <w:r w:rsidR="000F18BA"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97029"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  <w:r w:rsidR="000F18BA"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BA" w:rsidRPr="000F18BA" w:rsidRDefault="000F18BA" w:rsidP="000F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2880</w:t>
            </w:r>
          </w:p>
        </w:tc>
      </w:tr>
    </w:tbl>
    <w:tbl>
      <w:tblPr>
        <w:tblpPr w:leftFromText="141" w:rightFromText="141" w:vertAnchor="text" w:horzAnchor="margin" w:tblpXSpec="center" w:tblpY="1"/>
        <w:tblW w:w="6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497029" w:rsidRPr="00497029" w:rsidTr="0049702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497029" w:rsidRPr="00497029" w:rsidTr="00241E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2247</w:t>
            </w:r>
          </w:p>
        </w:tc>
      </w:tr>
    </w:tbl>
    <w:p w:rsidR="000B5361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22B" w:rsidRDefault="00DC322B" w:rsidP="00DC322B">
      <w:pPr>
        <w:rPr>
          <w:rFonts w:ascii="Times New Roman" w:hAnsi="Times New Roman" w:cs="Times New Roman"/>
          <w:b/>
          <w:sz w:val="20"/>
          <w:szCs w:val="24"/>
        </w:rPr>
      </w:pPr>
    </w:p>
    <w:p w:rsidR="00497029" w:rsidRPr="000F18BA" w:rsidRDefault="00DC322B" w:rsidP="00DC3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</w:t>
      </w:r>
      <w:r w:rsidRPr="00241E26">
        <w:rPr>
          <w:rFonts w:ascii="Times New Roman" w:hAnsi="Times New Roman" w:cs="Times New Roman"/>
          <w:b/>
          <w:sz w:val="20"/>
          <w:szCs w:val="24"/>
        </w:rPr>
        <w:t>. 1. Wyszczególnienie pogłowia bydła mlecznego w latach 1990 – 2014</w:t>
      </w:r>
    </w:p>
    <w:p w:rsidR="00576901" w:rsidRPr="000F18BA" w:rsidRDefault="00576901" w:rsidP="0049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DC842F" wp14:editId="1CC7FC22">
            <wp:extent cx="5667375" cy="31718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7029" w:rsidRDefault="00576901" w:rsidP="000B5361">
      <w:pPr>
        <w:jc w:val="both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sz w:val="24"/>
          <w:szCs w:val="24"/>
        </w:rPr>
        <w:t xml:space="preserve">Na wykresie zostało przedstawione </w:t>
      </w:r>
      <w:r w:rsidRPr="00DC322B">
        <w:rPr>
          <w:rFonts w:ascii="Times New Roman" w:hAnsi="Times New Roman" w:cs="Times New Roman"/>
          <w:b/>
          <w:sz w:val="24"/>
          <w:szCs w:val="24"/>
        </w:rPr>
        <w:t>pogłowie bydła mlecznego</w:t>
      </w:r>
      <w:r w:rsidRPr="000F18BA">
        <w:rPr>
          <w:rFonts w:ascii="Times New Roman" w:hAnsi="Times New Roman" w:cs="Times New Roman"/>
          <w:sz w:val="24"/>
          <w:szCs w:val="24"/>
        </w:rPr>
        <w:t xml:space="preserve">, które spadało z roku na rok ponieważ </w:t>
      </w:r>
      <w:r w:rsidR="00241E26">
        <w:rPr>
          <w:rFonts w:ascii="Times New Roman" w:hAnsi="Times New Roman" w:cs="Times New Roman"/>
          <w:sz w:val="24"/>
          <w:szCs w:val="24"/>
        </w:rPr>
        <w:t xml:space="preserve">produkcja pogłowia bydła mlecznego </w:t>
      </w:r>
      <w:r w:rsidRPr="000F18BA">
        <w:rPr>
          <w:rFonts w:ascii="Times New Roman" w:hAnsi="Times New Roman" w:cs="Times New Roman"/>
          <w:sz w:val="24"/>
          <w:szCs w:val="24"/>
        </w:rPr>
        <w:t>nie jest opłacaln</w:t>
      </w:r>
      <w:r w:rsidR="00241E26">
        <w:rPr>
          <w:rFonts w:ascii="Times New Roman" w:hAnsi="Times New Roman" w:cs="Times New Roman"/>
          <w:sz w:val="24"/>
          <w:szCs w:val="24"/>
        </w:rPr>
        <w:t>a</w:t>
      </w:r>
      <w:r w:rsidRPr="000F18BA">
        <w:rPr>
          <w:rFonts w:ascii="Times New Roman" w:hAnsi="Times New Roman" w:cs="Times New Roman"/>
          <w:sz w:val="24"/>
          <w:szCs w:val="24"/>
        </w:rPr>
        <w:t xml:space="preserve"> w Polsce. </w:t>
      </w:r>
    </w:p>
    <w:p w:rsidR="00497029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029" w:rsidRPr="00241E26" w:rsidRDefault="00241E26" w:rsidP="00241E26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t>Tab. 2. Wyszczególnienie mleczności pogłowia bydła mlecznego w latach 1990 – 2014</w:t>
      </w:r>
    </w:p>
    <w:tbl>
      <w:tblPr>
        <w:tblW w:w="12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497029" w:rsidRPr="00241E26" w:rsidTr="0049702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497029" w:rsidRPr="00241E26" w:rsidTr="00241E2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Mleczność pogłowia</w:t>
            </w: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</w:t>
            </w: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 na 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3969</w:t>
            </w:r>
          </w:p>
        </w:tc>
      </w:tr>
    </w:tbl>
    <w:tbl>
      <w:tblPr>
        <w:tblpPr w:leftFromText="141" w:rightFromText="141" w:vertAnchor="text" w:horzAnchor="margin" w:tblpXSpec="center" w:tblpY="9"/>
        <w:tblW w:w="6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497029" w:rsidRPr="00241E26" w:rsidTr="0049702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497029" w:rsidRPr="00241E26" w:rsidTr="00241E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4083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4147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5045</w:t>
            </w:r>
          </w:p>
        </w:tc>
      </w:tr>
    </w:tbl>
    <w:p w:rsidR="00497029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29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2B" w:rsidRDefault="00576901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29">
        <w:rPr>
          <w:rFonts w:ascii="Times New Roman" w:hAnsi="Times New Roman" w:cs="Times New Roman"/>
          <w:b/>
          <w:sz w:val="24"/>
          <w:szCs w:val="24"/>
        </w:rPr>
        <w:t>Mleczność pogłowia</w:t>
      </w:r>
      <w:r w:rsidRPr="000F18BA">
        <w:rPr>
          <w:rFonts w:ascii="Times New Roman" w:hAnsi="Times New Roman" w:cs="Times New Roman"/>
          <w:sz w:val="24"/>
          <w:szCs w:val="24"/>
        </w:rPr>
        <w:t xml:space="preserve"> jest coraz większa ponieważ nowe technologie powodują, że można wydobyć więcej litrów mleka ze sztuki bydła, kiedyś robiono to ręcznie, dziś ludzi zastępują technologie.</w:t>
      </w:r>
    </w:p>
    <w:p w:rsidR="00CF6761" w:rsidRDefault="00CF6761" w:rsidP="00DC322B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C322B" w:rsidRPr="00241E26" w:rsidRDefault="00DC322B" w:rsidP="00DC32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</w:t>
      </w:r>
      <w:r w:rsidRPr="00241E26">
        <w:rPr>
          <w:rFonts w:ascii="Times New Roman" w:hAnsi="Times New Roman" w:cs="Times New Roman"/>
          <w:b/>
          <w:sz w:val="20"/>
          <w:szCs w:val="24"/>
        </w:rPr>
        <w:t>. 2. Wyszczególnienie mleczności pogłowia bydła mlecznego w latach 1990 – 2014</w:t>
      </w:r>
    </w:p>
    <w:p w:rsidR="00497029" w:rsidRDefault="00DC322B" w:rsidP="00DC3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FE8D73" wp14:editId="48854015">
            <wp:extent cx="5667375" cy="31718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1E26" w:rsidRPr="00241E26" w:rsidRDefault="00241E26" w:rsidP="00241E26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lastRenderedPageBreak/>
        <w:t>Tab. 3. Wyszczególnienie produkcji mleka krowiego w latach 1990 – 2014</w:t>
      </w:r>
    </w:p>
    <w:tbl>
      <w:tblPr>
        <w:tblW w:w="12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80"/>
        <w:gridCol w:w="620"/>
        <w:gridCol w:w="620"/>
        <w:gridCol w:w="620"/>
        <w:gridCol w:w="620"/>
        <w:gridCol w:w="620"/>
        <w:gridCol w:w="680"/>
        <w:gridCol w:w="620"/>
        <w:gridCol w:w="680"/>
        <w:gridCol w:w="680"/>
        <w:gridCol w:w="680"/>
        <w:gridCol w:w="680"/>
        <w:gridCol w:w="680"/>
      </w:tblGrid>
      <w:tr w:rsidR="00497029" w:rsidRPr="00241E26" w:rsidTr="0049702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497029" w:rsidRPr="00241E26" w:rsidTr="00241E2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rodukcja mleka [mld l]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11,57</w:t>
            </w:r>
          </w:p>
        </w:tc>
      </w:tr>
    </w:tbl>
    <w:tbl>
      <w:tblPr>
        <w:tblpPr w:leftFromText="141" w:rightFromText="141" w:vertAnchor="text" w:horzAnchor="margin" w:tblpXSpec="center" w:tblpY="18"/>
        <w:tblW w:w="6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80"/>
        <w:gridCol w:w="620"/>
        <w:gridCol w:w="680"/>
        <w:gridCol w:w="680"/>
        <w:gridCol w:w="640"/>
        <w:gridCol w:w="680"/>
        <w:gridCol w:w="640"/>
      </w:tblGrid>
      <w:tr w:rsidR="00497029" w:rsidRPr="00497029" w:rsidTr="0049702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497029" w:rsidRPr="00497029" w:rsidTr="00241E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12,6</w:t>
            </w:r>
          </w:p>
        </w:tc>
      </w:tr>
    </w:tbl>
    <w:p w:rsidR="00497029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29" w:rsidRDefault="00497029" w:rsidP="000B5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029" w:rsidRDefault="00576901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29">
        <w:rPr>
          <w:rFonts w:ascii="Times New Roman" w:hAnsi="Times New Roman" w:cs="Times New Roman"/>
          <w:b/>
          <w:sz w:val="24"/>
          <w:szCs w:val="24"/>
        </w:rPr>
        <w:t>Produkcja mleka</w:t>
      </w:r>
      <w:r w:rsidRPr="000F18BA">
        <w:rPr>
          <w:rFonts w:ascii="Times New Roman" w:hAnsi="Times New Roman" w:cs="Times New Roman"/>
          <w:sz w:val="24"/>
          <w:szCs w:val="24"/>
        </w:rPr>
        <w:t xml:space="preserve"> maleje, związane jest to z liczba pogłowia mlecznego, skoro pogłowie maleje to również maleje produkcja. </w:t>
      </w:r>
      <w:r w:rsidR="00E876C4" w:rsidRPr="000F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61" w:rsidRDefault="00CF6761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27488" w:rsidRPr="00241E26" w:rsidRDefault="00B27488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Wyk. 3</w:t>
      </w:r>
      <w:r w:rsidRPr="00241E26">
        <w:rPr>
          <w:rFonts w:ascii="Times New Roman" w:hAnsi="Times New Roman" w:cs="Times New Roman"/>
          <w:b/>
          <w:sz w:val="20"/>
          <w:szCs w:val="24"/>
        </w:rPr>
        <w:t>. Wyszczególnienie produkcji mleka krowiego w latach 1990 – 2014</w:t>
      </w:r>
    </w:p>
    <w:p w:rsidR="00B27488" w:rsidRDefault="00B27488" w:rsidP="00B27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4B4C47" wp14:editId="74BA1702">
            <wp:extent cx="5667375" cy="31718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7488" w:rsidRDefault="00B27488" w:rsidP="00241E26">
      <w:pPr>
        <w:rPr>
          <w:rFonts w:ascii="Times New Roman" w:hAnsi="Times New Roman" w:cs="Times New Roman"/>
          <w:b/>
          <w:sz w:val="20"/>
          <w:szCs w:val="24"/>
        </w:rPr>
      </w:pPr>
    </w:p>
    <w:p w:rsidR="00B27488" w:rsidRDefault="00B27488" w:rsidP="00241E26">
      <w:pPr>
        <w:rPr>
          <w:rFonts w:ascii="Times New Roman" w:hAnsi="Times New Roman" w:cs="Times New Roman"/>
          <w:b/>
          <w:sz w:val="20"/>
          <w:szCs w:val="24"/>
        </w:rPr>
      </w:pPr>
    </w:p>
    <w:p w:rsidR="00241E26" w:rsidRPr="00241E26" w:rsidRDefault="00241E26" w:rsidP="00241E26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lastRenderedPageBreak/>
        <w:t>Tab. 4. Wyszczególnienie spożycia mleka krowiego w latach 1990 – 2014</w:t>
      </w:r>
    </w:p>
    <w:tbl>
      <w:tblPr>
        <w:tblW w:w="12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497029" w:rsidRPr="00497029" w:rsidTr="0049702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241E26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497029" w:rsidRPr="00497029" w:rsidTr="00241E2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241E26" w:rsidP="004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497029"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pożycie w 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</w:tbl>
    <w:tbl>
      <w:tblPr>
        <w:tblpPr w:leftFromText="141" w:rightFromText="141" w:vertAnchor="text" w:horzAnchor="margin" w:tblpXSpec="center" w:tblpY="25"/>
        <w:tblW w:w="6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497029" w:rsidRPr="00497029" w:rsidTr="0049702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497029" w:rsidRPr="00497029" w:rsidTr="00241E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29" w:rsidRPr="00497029" w:rsidRDefault="00497029" w:rsidP="004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49702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196</w:t>
            </w:r>
          </w:p>
        </w:tc>
      </w:tr>
    </w:tbl>
    <w:p w:rsidR="00497029" w:rsidRDefault="00497029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29" w:rsidRDefault="00497029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029" w:rsidRDefault="00497029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Spożycie mleka </w:t>
      </w:r>
      <w:r>
        <w:rPr>
          <w:rFonts w:ascii="Times New Roman" w:hAnsi="Times New Roman" w:cs="Times New Roman"/>
          <w:sz w:val="24"/>
          <w:szCs w:val="24"/>
        </w:rPr>
        <w:t xml:space="preserve">w podanych </w:t>
      </w:r>
      <w:r w:rsidR="00241E26">
        <w:rPr>
          <w:rFonts w:ascii="Times New Roman" w:hAnsi="Times New Roman" w:cs="Times New Roman"/>
          <w:sz w:val="24"/>
          <w:szCs w:val="24"/>
        </w:rPr>
        <w:t>latach</w:t>
      </w:r>
      <w:r>
        <w:rPr>
          <w:rFonts w:ascii="Times New Roman" w:hAnsi="Times New Roman" w:cs="Times New Roman"/>
          <w:sz w:val="24"/>
          <w:szCs w:val="24"/>
        </w:rPr>
        <w:t xml:space="preserve"> zmniejszała się sukcesywnie. Z roku na rok zainteresowanie ludzi spożywaniem mleka krowiego zmniejszało się. W dzisiejszych czasach ludzie zwr</w:t>
      </w:r>
      <w:r w:rsidR="00241E26">
        <w:rPr>
          <w:rFonts w:ascii="Times New Roman" w:hAnsi="Times New Roman" w:cs="Times New Roman"/>
          <w:sz w:val="24"/>
          <w:szCs w:val="24"/>
        </w:rPr>
        <w:t>acają uwagę na produkty, które spożywają, ale mleko krowie nie jest już cenione jak kiedyś.</w:t>
      </w:r>
    </w:p>
    <w:p w:rsidR="00CF6761" w:rsidRDefault="00CF6761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27488" w:rsidRPr="00241E26" w:rsidRDefault="00B27488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t>Tab. 4. Wyszczególnienie spożycia mleka krowiego w latach 1990 – 2014</w:t>
      </w:r>
    </w:p>
    <w:p w:rsidR="00B27488" w:rsidRDefault="00B27488" w:rsidP="00B27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A6290C" wp14:editId="4781A8B8">
            <wp:extent cx="5667375" cy="31718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7488" w:rsidRDefault="00B27488" w:rsidP="00241E26">
      <w:pPr>
        <w:rPr>
          <w:rFonts w:ascii="Times New Roman" w:hAnsi="Times New Roman" w:cs="Times New Roman"/>
          <w:b/>
          <w:sz w:val="20"/>
          <w:szCs w:val="24"/>
        </w:rPr>
      </w:pPr>
    </w:p>
    <w:p w:rsidR="00241E26" w:rsidRPr="00241E26" w:rsidRDefault="00241E26" w:rsidP="00241E26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lastRenderedPageBreak/>
        <w:t xml:space="preserve">Tab. </w:t>
      </w:r>
      <w:r w:rsidR="00B27488">
        <w:rPr>
          <w:rFonts w:ascii="Times New Roman" w:hAnsi="Times New Roman" w:cs="Times New Roman"/>
          <w:b/>
          <w:sz w:val="20"/>
          <w:szCs w:val="24"/>
        </w:rPr>
        <w:t>5</w:t>
      </w:r>
      <w:r w:rsidRPr="00241E26">
        <w:rPr>
          <w:rFonts w:ascii="Times New Roman" w:hAnsi="Times New Roman" w:cs="Times New Roman"/>
          <w:b/>
          <w:sz w:val="20"/>
          <w:szCs w:val="24"/>
        </w:rPr>
        <w:t>. Wyszczególnienie ceny skupu litra mleka krowiego w latach 1990 – 2014</w:t>
      </w:r>
    </w:p>
    <w:tbl>
      <w:tblPr>
        <w:tblW w:w="1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241E26" w:rsidRPr="00241E26" w:rsidTr="00241E26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/Lata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241E26" w:rsidRPr="00241E26" w:rsidTr="00241E2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skupu litra mleka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0,72</w:t>
            </w:r>
          </w:p>
        </w:tc>
      </w:tr>
    </w:tbl>
    <w:tbl>
      <w:tblPr>
        <w:tblpPr w:leftFromText="141" w:rightFromText="141" w:vertAnchor="text" w:horzAnchor="margin" w:tblpXSpec="center" w:tblpY="33"/>
        <w:tblW w:w="6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40"/>
        <w:gridCol w:w="640"/>
      </w:tblGrid>
      <w:tr w:rsidR="00241E26" w:rsidRPr="00241E26" w:rsidTr="00241E26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241E26" w:rsidRPr="00241E26" w:rsidTr="00241E2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0,87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0,93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0,93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26" w:rsidRPr="00241E26" w:rsidRDefault="00241E26" w:rsidP="0024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241E2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1,13</w:t>
            </w:r>
          </w:p>
        </w:tc>
      </w:tr>
    </w:tbl>
    <w:p w:rsidR="00241E26" w:rsidRDefault="00241E26" w:rsidP="004970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029" w:rsidRDefault="00497029" w:rsidP="004970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88" w:rsidRDefault="00E876C4" w:rsidP="00497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29">
        <w:rPr>
          <w:rFonts w:ascii="Times New Roman" w:hAnsi="Times New Roman" w:cs="Times New Roman"/>
          <w:b/>
          <w:sz w:val="24"/>
          <w:szCs w:val="24"/>
        </w:rPr>
        <w:t>Cena mleka</w:t>
      </w:r>
      <w:r w:rsidRPr="000F18BA">
        <w:rPr>
          <w:rFonts w:ascii="Times New Roman" w:hAnsi="Times New Roman" w:cs="Times New Roman"/>
          <w:sz w:val="24"/>
          <w:szCs w:val="24"/>
        </w:rPr>
        <w:t xml:space="preserve"> wzrastała do roku 2007, następnie nastąpił kryzys gospodarczy i cena mleka spadła. W latach 2009-2011 rosła. Ostatecznie od roku 2011 cena mleka spada związane jest to z nadprodukcją mleka więc cena tego towaru spada. </w:t>
      </w:r>
    </w:p>
    <w:p w:rsidR="00CF6761" w:rsidRDefault="00CF6761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27488" w:rsidRPr="00241E26" w:rsidRDefault="00B27488" w:rsidP="00B27488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sz w:val="20"/>
          <w:szCs w:val="24"/>
        </w:rPr>
        <w:t>5</w:t>
      </w:r>
      <w:r w:rsidRPr="00241E26">
        <w:rPr>
          <w:rFonts w:ascii="Times New Roman" w:hAnsi="Times New Roman" w:cs="Times New Roman"/>
          <w:b/>
          <w:sz w:val="20"/>
          <w:szCs w:val="24"/>
        </w:rPr>
        <w:t>. Wyszczególnienie ceny skupu litra mleka krowiego w latach 1990 – 2014</w:t>
      </w:r>
    </w:p>
    <w:p w:rsidR="00241E26" w:rsidRDefault="00B27488" w:rsidP="00B27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A6290C" wp14:editId="4781A8B8">
            <wp:extent cx="5667375" cy="31718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41E26">
        <w:rPr>
          <w:rFonts w:ascii="Times New Roman" w:hAnsi="Times New Roman" w:cs="Times New Roman"/>
          <w:sz w:val="24"/>
          <w:szCs w:val="24"/>
        </w:rPr>
        <w:br w:type="page"/>
      </w:r>
    </w:p>
    <w:p w:rsidR="00B27488" w:rsidRDefault="00B27488" w:rsidP="00B274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SPOŻYCIE PRODUKTÓW</w:t>
      </w:r>
      <w:r w:rsidRPr="00B2748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MLECZNYCH</w:t>
      </w:r>
    </w:p>
    <w:p w:rsidR="002D4145" w:rsidRPr="00241E26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t xml:space="preserve">Tab. </w:t>
      </w:r>
      <w:r>
        <w:rPr>
          <w:rFonts w:ascii="Times New Roman" w:hAnsi="Times New Roman" w:cs="Times New Roman"/>
          <w:b/>
          <w:sz w:val="20"/>
          <w:szCs w:val="24"/>
        </w:rPr>
        <w:t>6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>spożycia masła i przetworów mlecznych do smarowania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 w latach 1990 – 2014</w:t>
      </w:r>
    </w:p>
    <w:tbl>
      <w:tblPr>
        <w:tblW w:w="120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40"/>
        <w:gridCol w:w="620"/>
        <w:gridCol w:w="620"/>
        <w:gridCol w:w="620"/>
        <w:gridCol w:w="620"/>
        <w:gridCol w:w="620"/>
        <w:gridCol w:w="640"/>
        <w:gridCol w:w="620"/>
        <w:gridCol w:w="640"/>
        <w:gridCol w:w="640"/>
        <w:gridCol w:w="640"/>
        <w:gridCol w:w="680"/>
        <w:gridCol w:w="680"/>
      </w:tblGrid>
      <w:tr w:rsidR="002D4145" w:rsidRPr="00CF6761" w:rsidTr="002D414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Wyszczególnienie/Lata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2003</w:t>
            </w:r>
          </w:p>
        </w:tc>
      </w:tr>
      <w:tr w:rsidR="002D4145" w:rsidRPr="00CF6761" w:rsidTr="002D414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Masło i inne [tys. ton]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157,9</w:t>
            </w:r>
          </w:p>
        </w:tc>
      </w:tr>
    </w:tbl>
    <w:tbl>
      <w:tblPr>
        <w:tblpPr w:leftFromText="141" w:rightFromText="141" w:vertAnchor="text" w:horzAnchor="margin" w:tblpXSpec="center" w:tblpY="39"/>
        <w:tblW w:w="6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80"/>
        <w:gridCol w:w="620"/>
        <w:gridCol w:w="680"/>
        <w:gridCol w:w="680"/>
        <w:gridCol w:w="680"/>
        <w:gridCol w:w="680"/>
        <w:gridCol w:w="680"/>
      </w:tblGrid>
      <w:tr w:rsidR="002D4145" w:rsidRPr="002D4145" w:rsidTr="002D414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2D4145" w:rsidRPr="002D4145" w:rsidTr="002D414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179,6</w:t>
            </w:r>
          </w:p>
        </w:tc>
      </w:tr>
    </w:tbl>
    <w:p w:rsidR="002D4145" w:rsidRDefault="002D4145" w:rsidP="002D414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CF6761" w:rsidRDefault="00CF6761" w:rsidP="002D4145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D4145" w:rsidRPr="002D4145" w:rsidRDefault="002D4145" w:rsidP="002D414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Wyk.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6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>spożycia masła i przetworów mlecznych do smarowania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 w latach 1990 –</w:t>
      </w:r>
      <w:r>
        <w:rPr>
          <w:rFonts w:ascii="Times New Roman" w:hAnsi="Times New Roman" w:cs="Times New Roman"/>
          <w:b/>
          <w:sz w:val="20"/>
          <w:szCs w:val="24"/>
        </w:rPr>
        <w:t xml:space="preserve"> 2014</w:t>
      </w:r>
    </w:p>
    <w:p w:rsidR="002D4145" w:rsidRDefault="002D4145" w:rsidP="00B274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579C23" wp14:editId="150DC502">
            <wp:extent cx="5667375" cy="317182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lastRenderedPageBreak/>
        <w:t>Tab</w:t>
      </w:r>
      <w:r>
        <w:rPr>
          <w:rFonts w:ascii="Times New Roman" w:hAnsi="Times New Roman" w:cs="Times New Roman"/>
          <w:b/>
          <w:sz w:val="20"/>
          <w:szCs w:val="24"/>
        </w:rPr>
        <w:t>. 7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 xml:space="preserve">spożycia mleka w proszku w </w:t>
      </w:r>
      <w:r w:rsidRPr="00241E26">
        <w:rPr>
          <w:rFonts w:ascii="Times New Roman" w:hAnsi="Times New Roman" w:cs="Times New Roman"/>
          <w:b/>
          <w:sz w:val="20"/>
          <w:szCs w:val="24"/>
        </w:rPr>
        <w:t>latach 1990 – 2014</w:t>
      </w:r>
    </w:p>
    <w:tbl>
      <w:tblPr>
        <w:tblW w:w="120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80"/>
        <w:gridCol w:w="620"/>
        <w:gridCol w:w="620"/>
        <w:gridCol w:w="620"/>
        <w:gridCol w:w="620"/>
        <w:gridCol w:w="620"/>
        <w:gridCol w:w="680"/>
        <w:gridCol w:w="620"/>
        <w:gridCol w:w="680"/>
        <w:gridCol w:w="680"/>
        <w:gridCol w:w="680"/>
        <w:gridCol w:w="640"/>
        <w:gridCol w:w="680"/>
      </w:tblGrid>
      <w:tr w:rsidR="002D4145" w:rsidRPr="00CF6761" w:rsidTr="002D414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Wyszczególnienie/Lata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2003</w:t>
            </w:r>
          </w:p>
        </w:tc>
      </w:tr>
      <w:tr w:rsidR="002D4145" w:rsidRPr="00CF6761" w:rsidTr="002D414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Mleko w proszku [tys. ton]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119,9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148,7</w:t>
            </w:r>
          </w:p>
        </w:tc>
      </w:tr>
    </w:tbl>
    <w:tbl>
      <w:tblPr>
        <w:tblpPr w:leftFromText="141" w:rightFromText="141" w:vertAnchor="text" w:horzAnchor="margin" w:tblpXSpec="center" w:tblpY="36"/>
        <w:tblW w:w="6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80"/>
        <w:gridCol w:w="640"/>
        <w:gridCol w:w="680"/>
        <w:gridCol w:w="640"/>
      </w:tblGrid>
      <w:tr w:rsidR="002D4145" w:rsidRPr="002D4145" w:rsidTr="002D414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2D4145" w:rsidRPr="002D4145" w:rsidTr="002D414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</w:tbl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Wyk. 7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 xml:space="preserve">spożycia mleka w proszku w </w:t>
      </w:r>
      <w:r w:rsidRPr="00241E26">
        <w:rPr>
          <w:rFonts w:ascii="Times New Roman" w:hAnsi="Times New Roman" w:cs="Times New Roman"/>
          <w:b/>
          <w:sz w:val="20"/>
          <w:szCs w:val="24"/>
        </w:rPr>
        <w:t>latach 1990 – 2014</w:t>
      </w:r>
    </w:p>
    <w:p w:rsidR="002D4145" w:rsidRDefault="002D4145" w:rsidP="002D414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BE90AB" wp14:editId="01C0C3E5">
            <wp:extent cx="5667375" cy="3171825"/>
            <wp:effectExtent l="0" t="0" r="952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  <w:r w:rsidRPr="00241E26">
        <w:rPr>
          <w:rFonts w:ascii="Times New Roman" w:hAnsi="Times New Roman" w:cs="Times New Roman"/>
          <w:b/>
          <w:sz w:val="20"/>
          <w:szCs w:val="24"/>
        </w:rPr>
        <w:lastRenderedPageBreak/>
        <w:t xml:space="preserve">Tab. </w:t>
      </w:r>
      <w:r>
        <w:rPr>
          <w:rFonts w:ascii="Times New Roman" w:hAnsi="Times New Roman" w:cs="Times New Roman"/>
          <w:b/>
          <w:sz w:val="20"/>
          <w:szCs w:val="24"/>
        </w:rPr>
        <w:t>8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>spożycia serów twarogowych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 w latach 1990 – 2014</w:t>
      </w:r>
    </w:p>
    <w:tbl>
      <w:tblPr>
        <w:tblW w:w="120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80"/>
        <w:gridCol w:w="620"/>
        <w:gridCol w:w="620"/>
        <w:gridCol w:w="620"/>
        <w:gridCol w:w="620"/>
        <w:gridCol w:w="620"/>
        <w:gridCol w:w="680"/>
        <w:gridCol w:w="620"/>
        <w:gridCol w:w="680"/>
        <w:gridCol w:w="640"/>
        <w:gridCol w:w="680"/>
        <w:gridCol w:w="680"/>
        <w:gridCol w:w="680"/>
      </w:tblGrid>
      <w:tr w:rsidR="002D4145" w:rsidRPr="00CF6761" w:rsidTr="002D414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Wyszczególnienie/Lata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2003</w:t>
            </w:r>
          </w:p>
        </w:tc>
      </w:tr>
      <w:tr w:rsidR="002D4145" w:rsidRPr="00CF6761" w:rsidTr="002D414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Sery twarogowe [tys. ton]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166,3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228,6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272,7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267,6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285,2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286,5</w:t>
            </w:r>
          </w:p>
        </w:tc>
      </w:tr>
    </w:tbl>
    <w:tbl>
      <w:tblPr>
        <w:tblpPr w:leftFromText="141" w:rightFromText="141" w:vertAnchor="text" w:horzAnchor="margin" w:tblpXSpec="center" w:tblpY="35"/>
        <w:tblW w:w="6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40"/>
        <w:gridCol w:w="620"/>
        <w:gridCol w:w="640"/>
        <w:gridCol w:w="680"/>
        <w:gridCol w:w="640"/>
        <w:gridCol w:w="640"/>
        <w:gridCol w:w="680"/>
      </w:tblGrid>
      <w:tr w:rsidR="002D4145" w:rsidRPr="00CF6761" w:rsidTr="002D414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2014</w:t>
            </w:r>
          </w:p>
        </w:tc>
      </w:tr>
      <w:tr w:rsidR="002D4145" w:rsidRPr="00CF6761" w:rsidTr="002D414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45" w:rsidRPr="00CF6761" w:rsidRDefault="002D4145" w:rsidP="002D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406,1</w:t>
            </w:r>
          </w:p>
        </w:tc>
      </w:tr>
    </w:tbl>
    <w:p w:rsidR="002D4145" w:rsidRPr="00241E26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2D4145" w:rsidRPr="00241E26" w:rsidRDefault="002D4145" w:rsidP="002D4145">
      <w:pPr>
        <w:rPr>
          <w:rFonts w:ascii="Times New Roman" w:hAnsi="Times New Roman" w:cs="Times New Roman"/>
          <w:b/>
          <w:sz w:val="20"/>
          <w:szCs w:val="24"/>
        </w:rPr>
      </w:pPr>
    </w:p>
    <w:p w:rsidR="002D4145" w:rsidRPr="00241E26" w:rsidRDefault="002D4145" w:rsidP="00CF676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Wyk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sz w:val="20"/>
          <w:szCs w:val="24"/>
        </w:rPr>
        <w:t>8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. Wyszczególnienie </w:t>
      </w:r>
      <w:r>
        <w:rPr>
          <w:rFonts w:ascii="Times New Roman" w:hAnsi="Times New Roman" w:cs="Times New Roman"/>
          <w:b/>
          <w:sz w:val="20"/>
          <w:szCs w:val="24"/>
        </w:rPr>
        <w:t>spożycia serów twarogowych</w:t>
      </w:r>
      <w:r w:rsidRPr="00241E26">
        <w:rPr>
          <w:rFonts w:ascii="Times New Roman" w:hAnsi="Times New Roman" w:cs="Times New Roman"/>
          <w:b/>
          <w:sz w:val="20"/>
          <w:szCs w:val="24"/>
        </w:rPr>
        <w:t xml:space="preserve"> w latach 1990 – 2014</w:t>
      </w:r>
    </w:p>
    <w:p w:rsidR="002D4145" w:rsidRDefault="00CF6761" w:rsidP="00CF676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80C6E8" wp14:editId="7A5B6E85">
            <wp:extent cx="5667375" cy="317182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6761" w:rsidRDefault="00CF6761" w:rsidP="002D4145">
      <w:pPr>
        <w:rPr>
          <w:rFonts w:ascii="Times New Roman" w:hAnsi="Times New Roman" w:cs="Times New Roman"/>
          <w:b/>
          <w:sz w:val="24"/>
          <w:szCs w:val="24"/>
        </w:rPr>
      </w:pPr>
    </w:p>
    <w:p w:rsidR="00CF6761" w:rsidRDefault="00CF6761" w:rsidP="002D4145">
      <w:pPr>
        <w:rPr>
          <w:rFonts w:ascii="Times New Roman" w:hAnsi="Times New Roman" w:cs="Times New Roman"/>
          <w:b/>
          <w:sz w:val="24"/>
          <w:szCs w:val="24"/>
        </w:rPr>
      </w:pPr>
    </w:p>
    <w:p w:rsidR="00CF6761" w:rsidRDefault="00CF6761" w:rsidP="002D4145">
      <w:pPr>
        <w:rPr>
          <w:rFonts w:ascii="Times New Roman" w:hAnsi="Times New Roman" w:cs="Times New Roman"/>
          <w:b/>
          <w:sz w:val="24"/>
          <w:szCs w:val="24"/>
        </w:rPr>
      </w:pPr>
    </w:p>
    <w:p w:rsidR="00E876C4" w:rsidRPr="002D4145" w:rsidRDefault="002D4145" w:rsidP="002D4145">
      <w:pPr>
        <w:rPr>
          <w:rFonts w:ascii="Times New Roman" w:hAnsi="Times New Roman" w:cs="Times New Roman"/>
          <w:b/>
          <w:sz w:val="36"/>
          <w:szCs w:val="24"/>
        </w:rPr>
      </w:pPr>
      <w:r w:rsidRPr="002D4145">
        <w:rPr>
          <w:rFonts w:ascii="Times New Roman" w:hAnsi="Times New Roman" w:cs="Times New Roman"/>
          <w:b/>
          <w:sz w:val="24"/>
          <w:szCs w:val="24"/>
        </w:rPr>
        <w:lastRenderedPageBreak/>
        <w:t>Wnioski:</w:t>
      </w:r>
    </w:p>
    <w:p w:rsidR="002D4145" w:rsidRPr="002D4145" w:rsidRDefault="00E876C4" w:rsidP="002D4145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4145">
        <w:rPr>
          <w:rFonts w:ascii="Times New Roman" w:hAnsi="Times New Roman" w:cs="Times New Roman"/>
          <w:i/>
          <w:sz w:val="24"/>
          <w:szCs w:val="24"/>
          <w:u w:val="single"/>
        </w:rPr>
        <w:t>W latach 1990-2014 spożycie produktów mleczarskich spadło</w:t>
      </w:r>
      <w:r w:rsidR="002D4145" w:rsidRPr="002D4145">
        <w:rPr>
          <w:rFonts w:ascii="Times New Roman" w:hAnsi="Times New Roman" w:cs="Times New Roman"/>
          <w:i/>
          <w:sz w:val="24"/>
          <w:szCs w:val="24"/>
          <w:u w:val="single"/>
        </w:rPr>
        <w:t>, wyjątkiem są sery twarogowe.</w:t>
      </w:r>
    </w:p>
    <w:p w:rsidR="00CF6761" w:rsidRPr="00CF6761" w:rsidRDefault="00E876C4" w:rsidP="00CF6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5">
        <w:rPr>
          <w:rFonts w:ascii="Times New Roman" w:hAnsi="Times New Roman" w:cs="Times New Roman"/>
          <w:b/>
          <w:sz w:val="24"/>
          <w:szCs w:val="24"/>
        </w:rPr>
        <w:t>Masło i inne produkty</w:t>
      </w:r>
      <w:r w:rsidRPr="000F18BA">
        <w:rPr>
          <w:rFonts w:ascii="Times New Roman" w:hAnsi="Times New Roman" w:cs="Times New Roman"/>
          <w:sz w:val="24"/>
          <w:szCs w:val="24"/>
        </w:rPr>
        <w:t xml:space="preserve"> do smarowa</w:t>
      </w:r>
      <w:r w:rsidR="00921C1A" w:rsidRPr="000F18BA">
        <w:rPr>
          <w:rFonts w:ascii="Times New Roman" w:hAnsi="Times New Roman" w:cs="Times New Roman"/>
          <w:sz w:val="24"/>
          <w:szCs w:val="24"/>
        </w:rPr>
        <w:t xml:space="preserve">nia w roku 1990 wynosiły 272 tyś ton zaś w roku 2014 tylko 179,6, ponieważ od roku 2000 spożycie masła ograniczyły wszystkie gospodarstwa domowe w Polsce. Spadło również spożycie </w:t>
      </w:r>
      <w:r w:rsidR="00921C1A" w:rsidRPr="002D4145">
        <w:rPr>
          <w:rFonts w:ascii="Times New Roman" w:hAnsi="Times New Roman" w:cs="Times New Roman"/>
          <w:b/>
          <w:sz w:val="24"/>
          <w:szCs w:val="24"/>
        </w:rPr>
        <w:t>mleka w proszku</w:t>
      </w:r>
      <w:r w:rsidR="00921C1A" w:rsidRPr="000F18BA">
        <w:rPr>
          <w:rFonts w:ascii="Times New Roman" w:hAnsi="Times New Roman" w:cs="Times New Roman"/>
          <w:sz w:val="24"/>
          <w:szCs w:val="24"/>
        </w:rPr>
        <w:t xml:space="preserve">, ponieważ ten produkt nie jest jednym w tej kategorii i można go zastąpić innym produktem o wiele tańszym. Wyjątek to </w:t>
      </w:r>
      <w:r w:rsidR="00921C1A" w:rsidRPr="002D4145">
        <w:rPr>
          <w:rFonts w:ascii="Times New Roman" w:hAnsi="Times New Roman" w:cs="Times New Roman"/>
          <w:b/>
          <w:sz w:val="24"/>
          <w:szCs w:val="24"/>
        </w:rPr>
        <w:t>spożycie serów twarogowych</w:t>
      </w:r>
      <w:r w:rsidR="00921C1A" w:rsidRPr="000F18BA">
        <w:rPr>
          <w:rFonts w:ascii="Times New Roman" w:hAnsi="Times New Roman" w:cs="Times New Roman"/>
          <w:sz w:val="24"/>
          <w:szCs w:val="24"/>
        </w:rPr>
        <w:t xml:space="preserve">, które znacznie wzrasta. W roku 1990 wynosiło 185.8 tyś ton zaś w roku 2014 aż 406 czyli jest to ponad 2 razy więcej do roku bazowego. Cena takiego produktu jest dosyć wysoka ale poprawił się status społeczno-ekonomiczny mieszkańców Polski dlatego co raz więcej osób wybiera taki produkt. Spożycie tych produktów wiąże się również ze zdrowym odżywaniem jak i tradycją kulinarną zwłaszcza wśród oso starszych.  </w:t>
      </w:r>
    </w:p>
    <w:p w:rsidR="00490E6E" w:rsidRDefault="00CF6761" w:rsidP="00CF67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761">
        <w:rPr>
          <w:rFonts w:ascii="Times New Roman" w:hAnsi="Times New Roman" w:cs="Times New Roman"/>
          <w:b/>
          <w:sz w:val="28"/>
          <w:szCs w:val="24"/>
        </w:rPr>
        <w:t>STRUKTURA IMPORTU I EKSPORTU ZAGRANICZNEGO</w:t>
      </w:r>
    </w:p>
    <w:p w:rsidR="00CF6761" w:rsidRDefault="00CF6761" w:rsidP="00CF6761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Tab</w:t>
      </w:r>
      <w:r>
        <w:rPr>
          <w:rFonts w:ascii="Times New Roman" w:hAnsi="Times New Roman" w:cs="Times New Roman"/>
          <w:b/>
          <w:sz w:val="20"/>
          <w:szCs w:val="24"/>
        </w:rPr>
        <w:t xml:space="preserve">. 9. Eksport i import produktów mleczarskich w latach 1990 </w:t>
      </w:r>
      <w:r>
        <w:rPr>
          <w:rFonts w:ascii="Times New Roman" w:hAnsi="Times New Roman" w:cs="Times New Roman"/>
          <w:b/>
          <w:sz w:val="20"/>
          <w:szCs w:val="24"/>
        </w:rPr>
        <w:t>–</w:t>
      </w:r>
      <w:r>
        <w:rPr>
          <w:rFonts w:ascii="Times New Roman" w:hAnsi="Times New Roman" w:cs="Times New Roman"/>
          <w:b/>
          <w:sz w:val="20"/>
          <w:szCs w:val="24"/>
        </w:rPr>
        <w:t xml:space="preserve"> 2014</w:t>
      </w:r>
    </w:p>
    <w:tbl>
      <w:tblPr>
        <w:tblW w:w="12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60"/>
        <w:gridCol w:w="620"/>
        <w:gridCol w:w="620"/>
        <w:gridCol w:w="620"/>
        <w:gridCol w:w="620"/>
        <w:gridCol w:w="620"/>
        <w:gridCol w:w="660"/>
        <w:gridCol w:w="620"/>
        <w:gridCol w:w="660"/>
        <w:gridCol w:w="660"/>
        <w:gridCol w:w="660"/>
        <w:gridCol w:w="660"/>
        <w:gridCol w:w="660"/>
      </w:tblGrid>
      <w:tr w:rsidR="00CF6761" w:rsidRPr="00CF6761" w:rsidTr="00CF6761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Wyszczególnienie/Lata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CF6761" w:rsidRPr="00CF6761" w:rsidTr="00CF6761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mport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</w:t>
            </w: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mln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</w:tr>
    </w:tbl>
    <w:tbl>
      <w:tblPr>
        <w:tblpPr w:leftFromText="141" w:rightFromText="141" w:vertAnchor="text" w:horzAnchor="margin" w:tblpXSpec="center" w:tblpY="39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60"/>
        <w:gridCol w:w="620"/>
        <w:gridCol w:w="660"/>
        <w:gridCol w:w="660"/>
        <w:gridCol w:w="660"/>
        <w:gridCol w:w="660"/>
        <w:gridCol w:w="660"/>
      </w:tblGrid>
      <w:tr w:rsidR="00CF6761" w:rsidRPr="00CF6761" w:rsidTr="00CF676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CF6761" w:rsidRPr="00CF6761" w:rsidTr="00CF676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</w:t>
            </w:r>
          </w:p>
        </w:tc>
      </w:tr>
    </w:tbl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2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660"/>
        <w:gridCol w:w="620"/>
        <w:gridCol w:w="620"/>
        <w:gridCol w:w="620"/>
        <w:gridCol w:w="620"/>
        <w:gridCol w:w="620"/>
        <w:gridCol w:w="660"/>
        <w:gridCol w:w="620"/>
        <w:gridCol w:w="660"/>
        <w:gridCol w:w="660"/>
        <w:gridCol w:w="660"/>
        <w:gridCol w:w="660"/>
        <w:gridCol w:w="660"/>
      </w:tblGrid>
      <w:tr w:rsidR="00CF6761" w:rsidRPr="00CF6761" w:rsidTr="00CF6761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Wyszczególnienie/Lata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</w:tr>
      <w:tr w:rsidR="00CF6761" w:rsidRPr="00CF6761" w:rsidTr="00CF6761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ksport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</w:t>
            </w: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mln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</w:tr>
    </w:tbl>
    <w:tbl>
      <w:tblPr>
        <w:tblpPr w:leftFromText="141" w:rightFromText="141" w:vertAnchor="text" w:horzAnchor="margin" w:tblpXSpec="center" w:tblpY="59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60"/>
        <w:gridCol w:w="620"/>
        <w:gridCol w:w="660"/>
        <w:gridCol w:w="660"/>
        <w:gridCol w:w="660"/>
        <w:gridCol w:w="660"/>
        <w:gridCol w:w="660"/>
      </w:tblGrid>
      <w:tr w:rsidR="00CF6761" w:rsidRPr="00CF6761" w:rsidTr="00CF676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CF6761" w:rsidRPr="00CF6761" w:rsidTr="00CF676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61" w:rsidRPr="00CF6761" w:rsidRDefault="00CF6761" w:rsidP="00CF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3454</w:t>
            </w:r>
          </w:p>
        </w:tc>
      </w:tr>
    </w:tbl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p w:rsidR="00CF6761" w:rsidRDefault="00CF6761" w:rsidP="00CF6761">
      <w:pPr>
        <w:rPr>
          <w:rFonts w:ascii="Times New Roman" w:hAnsi="Times New Roman" w:cs="Times New Roman"/>
          <w:b/>
          <w:sz w:val="28"/>
          <w:szCs w:val="24"/>
        </w:rPr>
      </w:pPr>
    </w:p>
    <w:p w:rsidR="00CF6761" w:rsidRPr="00CF6761" w:rsidRDefault="00CF6761" w:rsidP="00CF676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Wyk. 9. Eksport i import produktów mleczarskich w latach 1990 - 2014</w:t>
      </w:r>
    </w:p>
    <w:p w:rsidR="00921C1A" w:rsidRPr="000F18BA" w:rsidRDefault="00921C1A" w:rsidP="00CF6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B33BDC" wp14:editId="369E222A">
            <wp:extent cx="6067425" cy="30194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6761" w:rsidRPr="00CF6761" w:rsidRDefault="00CF6761" w:rsidP="000B5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61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E876C4" w:rsidRPr="000F18BA" w:rsidRDefault="00490E6E" w:rsidP="000B5361">
      <w:pPr>
        <w:jc w:val="both"/>
        <w:rPr>
          <w:rFonts w:ascii="Times New Roman" w:hAnsi="Times New Roman" w:cs="Times New Roman"/>
          <w:sz w:val="24"/>
          <w:szCs w:val="24"/>
        </w:rPr>
      </w:pPr>
      <w:r w:rsidRPr="000F18BA">
        <w:rPr>
          <w:rFonts w:ascii="Times New Roman" w:hAnsi="Times New Roman" w:cs="Times New Roman"/>
          <w:sz w:val="24"/>
          <w:szCs w:val="24"/>
        </w:rPr>
        <w:t>Można zauważyć iż eksport i import w latach 1990-2014 znacznie wzrastał. Wyższą dynamikę wzrostu widać w imporcie produktami mleczarskimi. Import produktów, w roku 1990 wynosił 95 mln litrów zaś 2014 aż 1728 mln litrów. Głównymi importerami produktów mleczarskich do Polski są Chiny, ich produkty są wyższej jakości dlatego opłaca się je sp</w:t>
      </w:r>
      <w:r w:rsidR="005F193D" w:rsidRPr="000F18BA">
        <w:rPr>
          <w:rFonts w:ascii="Times New Roman" w:hAnsi="Times New Roman" w:cs="Times New Roman"/>
          <w:sz w:val="24"/>
          <w:szCs w:val="24"/>
        </w:rPr>
        <w:t>rowadzać zza granicy. Na drugim</w:t>
      </w:r>
      <w:r w:rsidRPr="000F18BA">
        <w:rPr>
          <w:rFonts w:ascii="Times New Roman" w:hAnsi="Times New Roman" w:cs="Times New Roman"/>
          <w:sz w:val="24"/>
          <w:szCs w:val="24"/>
        </w:rPr>
        <w:t xml:space="preserve"> miejscu jest Australia, która </w:t>
      </w:r>
      <w:r w:rsidR="005F193D" w:rsidRPr="000F18BA">
        <w:rPr>
          <w:rFonts w:ascii="Times New Roman" w:hAnsi="Times New Roman" w:cs="Times New Roman"/>
          <w:sz w:val="24"/>
          <w:szCs w:val="24"/>
        </w:rPr>
        <w:t>jest krajem bogatym w zasoby naturalne dlatego Polska importuje takie produkty jak masło jak i serów. Japonia jest trzecim miejscu, z tego kraju Polska importuje głownie sery. Eksport w latach 1990-2014 również wzrastał lecz jego dynamika jest nie co mniejsza. Produkcja i wywóz produktów mleczarskich okazało się bardzo korzystne dla polskiej gospodarki. Polscy producenci eksportowali produkty mleczarskie głównie do Niemiec, Holandii, Czech i Rosji, ale również dość duża ilość produktów mleczarskich została na rynku krajowym.</w:t>
      </w:r>
    </w:p>
    <w:p w:rsidR="00576901" w:rsidRPr="000F18BA" w:rsidRDefault="00576901" w:rsidP="000B5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901" w:rsidRPr="000F18BA" w:rsidRDefault="00576901" w:rsidP="000B53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901" w:rsidRPr="000F18BA" w:rsidSect="000F1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01"/>
    <w:rsid w:val="000B5361"/>
    <w:rsid w:val="000F18BA"/>
    <w:rsid w:val="00241E26"/>
    <w:rsid w:val="002D4145"/>
    <w:rsid w:val="00396E3C"/>
    <w:rsid w:val="00490E6E"/>
    <w:rsid w:val="00497029"/>
    <w:rsid w:val="00576901"/>
    <w:rsid w:val="005F193D"/>
    <w:rsid w:val="00921C1A"/>
    <w:rsid w:val="00B27488"/>
    <w:rsid w:val="00CF6761"/>
    <w:rsid w:val="00D93122"/>
    <w:rsid w:val="00DC322B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9377-003B-407D-BDCA-11784C43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Pogłowie bydła mlecznego [tys. szt.]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pogłowie bydła mlecznego [tys szt]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4810</c:v>
                </c:pt>
                <c:pt idx="1">
                  <c:v>4489</c:v>
                </c:pt>
                <c:pt idx="2">
                  <c:v>4196</c:v>
                </c:pt>
                <c:pt idx="3">
                  <c:v>3926</c:v>
                </c:pt>
                <c:pt idx="4">
                  <c:v>3789</c:v>
                </c:pt>
                <c:pt idx="5">
                  <c:v>3567</c:v>
                </c:pt>
                <c:pt idx="6">
                  <c:v>3456</c:v>
                </c:pt>
                <c:pt idx="7">
                  <c:v>3493</c:v>
                </c:pt>
                <c:pt idx="8">
                  <c:v>3506</c:v>
                </c:pt>
                <c:pt idx="9">
                  <c:v>3357</c:v>
                </c:pt>
                <c:pt idx="10">
                  <c:v>3072</c:v>
                </c:pt>
                <c:pt idx="11">
                  <c:v>2998</c:v>
                </c:pt>
                <c:pt idx="12">
                  <c:v>2936</c:v>
                </c:pt>
                <c:pt idx="13">
                  <c:v>2880</c:v>
                </c:pt>
                <c:pt idx="14">
                  <c:v>2787</c:v>
                </c:pt>
                <c:pt idx="15">
                  <c:v>2798</c:v>
                </c:pt>
                <c:pt idx="16">
                  <c:v>2754</c:v>
                </c:pt>
                <c:pt idx="17">
                  <c:v>2763</c:v>
                </c:pt>
                <c:pt idx="18">
                  <c:v>2789</c:v>
                </c:pt>
                <c:pt idx="19">
                  <c:v>2683</c:v>
                </c:pt>
                <c:pt idx="20">
                  <c:v>2646</c:v>
                </c:pt>
                <c:pt idx="21">
                  <c:v>2597</c:v>
                </c:pt>
                <c:pt idx="22">
                  <c:v>2523</c:v>
                </c:pt>
                <c:pt idx="23">
                  <c:v>2385</c:v>
                </c:pt>
                <c:pt idx="24">
                  <c:v>2247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355120"/>
        <c:axId val="2116351856"/>
        <c:extLst/>
      </c:lineChart>
      <c:catAx>
        <c:axId val="211635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6351856"/>
        <c:crosses val="autoZero"/>
        <c:auto val="1"/>
        <c:lblAlgn val="ctr"/>
        <c:lblOffset val="100"/>
        <c:noMultiLvlLbl val="0"/>
      </c:catAx>
      <c:valAx>
        <c:axId val="211635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635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Mleczność pogłowia [l na szt.]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Mleczność pogłowia [l na szt.]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3151</c:v>
                </c:pt>
                <c:pt idx="1">
                  <c:v>3082</c:v>
                </c:pt>
                <c:pt idx="2">
                  <c:v>3015</c:v>
                </c:pt>
                <c:pt idx="3">
                  <c:v>3075</c:v>
                </c:pt>
                <c:pt idx="4">
                  <c:v>3121</c:v>
                </c:pt>
                <c:pt idx="5">
                  <c:v>3136</c:v>
                </c:pt>
                <c:pt idx="6">
                  <c:v>3249</c:v>
                </c:pt>
                <c:pt idx="7">
                  <c:v>3370</c:v>
                </c:pt>
                <c:pt idx="8">
                  <c:v>3491</c:v>
                </c:pt>
                <c:pt idx="9">
                  <c:v>3510</c:v>
                </c:pt>
                <c:pt idx="10">
                  <c:v>3668</c:v>
                </c:pt>
                <c:pt idx="11">
                  <c:v>3828</c:v>
                </c:pt>
                <c:pt idx="12">
                  <c:v>3902</c:v>
                </c:pt>
                <c:pt idx="13">
                  <c:v>3969</c:v>
                </c:pt>
                <c:pt idx="14">
                  <c:v>4083</c:v>
                </c:pt>
                <c:pt idx="15">
                  <c:v>4147</c:v>
                </c:pt>
                <c:pt idx="16">
                  <c:v>4200</c:v>
                </c:pt>
                <c:pt idx="17">
                  <c:v>4292</c:v>
                </c:pt>
                <c:pt idx="18">
                  <c:v>4351</c:v>
                </c:pt>
                <c:pt idx="19">
                  <c:v>4455</c:v>
                </c:pt>
                <c:pt idx="20">
                  <c:v>4487</c:v>
                </c:pt>
                <c:pt idx="21">
                  <c:v>4618</c:v>
                </c:pt>
                <c:pt idx="22">
                  <c:v>4846</c:v>
                </c:pt>
                <c:pt idx="23">
                  <c:v>5005</c:v>
                </c:pt>
                <c:pt idx="24">
                  <c:v>5045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354032"/>
        <c:axId val="2116354576"/>
        <c:extLst/>
      </c:lineChart>
      <c:catAx>
        <c:axId val="211635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6354576"/>
        <c:crosses val="autoZero"/>
        <c:auto val="1"/>
        <c:lblAlgn val="ctr"/>
        <c:lblOffset val="100"/>
        <c:noMultiLvlLbl val="0"/>
      </c:catAx>
      <c:valAx>
        <c:axId val="211635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635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Produkcja mleka [mld l]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Produkcja mleka [mld l]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15.4</c:v>
                </c:pt>
                <c:pt idx="1">
                  <c:v>14.02</c:v>
                </c:pt>
                <c:pt idx="2">
                  <c:v>12.8</c:v>
                </c:pt>
                <c:pt idx="3">
                  <c:v>12.3</c:v>
                </c:pt>
                <c:pt idx="4">
                  <c:v>11.9</c:v>
                </c:pt>
                <c:pt idx="5">
                  <c:v>11.3</c:v>
                </c:pt>
                <c:pt idx="6">
                  <c:v>11.6</c:v>
                </c:pt>
                <c:pt idx="7">
                  <c:v>11.77</c:v>
                </c:pt>
                <c:pt idx="8">
                  <c:v>12.3</c:v>
                </c:pt>
                <c:pt idx="9">
                  <c:v>11.92</c:v>
                </c:pt>
                <c:pt idx="10">
                  <c:v>11.54</c:v>
                </c:pt>
                <c:pt idx="11">
                  <c:v>11.54</c:v>
                </c:pt>
                <c:pt idx="12">
                  <c:v>11.53</c:v>
                </c:pt>
                <c:pt idx="13">
                  <c:v>11.57</c:v>
                </c:pt>
                <c:pt idx="14">
                  <c:v>11.5</c:v>
                </c:pt>
                <c:pt idx="15">
                  <c:v>11.6</c:v>
                </c:pt>
                <c:pt idx="16">
                  <c:v>11.6</c:v>
                </c:pt>
                <c:pt idx="17">
                  <c:v>11.7</c:v>
                </c:pt>
                <c:pt idx="18">
                  <c:v>12.06</c:v>
                </c:pt>
                <c:pt idx="19">
                  <c:v>12.1</c:v>
                </c:pt>
                <c:pt idx="20">
                  <c:v>11.92</c:v>
                </c:pt>
                <c:pt idx="21">
                  <c:v>12.05</c:v>
                </c:pt>
                <c:pt idx="22">
                  <c:v>12.3</c:v>
                </c:pt>
                <c:pt idx="23">
                  <c:v>12.45</c:v>
                </c:pt>
                <c:pt idx="24">
                  <c:v>12.6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652848"/>
        <c:axId val="333651760"/>
        <c:extLst/>
      </c:lineChart>
      <c:catAx>
        <c:axId val="33365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651760"/>
        <c:crosses val="autoZero"/>
        <c:auto val="1"/>
        <c:lblAlgn val="ctr"/>
        <c:lblOffset val="100"/>
        <c:noMultiLvlLbl val="0"/>
      </c:catAx>
      <c:valAx>
        <c:axId val="33365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65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Spożycie mleka [mld l]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Spożycie w 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242</c:v>
                </c:pt>
                <c:pt idx="1">
                  <c:v>230</c:v>
                </c:pt>
                <c:pt idx="2">
                  <c:v>219</c:v>
                </c:pt>
                <c:pt idx="3">
                  <c:v>211</c:v>
                </c:pt>
                <c:pt idx="4">
                  <c:v>202</c:v>
                </c:pt>
                <c:pt idx="5">
                  <c:v>197</c:v>
                </c:pt>
                <c:pt idx="6">
                  <c:v>196</c:v>
                </c:pt>
                <c:pt idx="7">
                  <c:v>192</c:v>
                </c:pt>
                <c:pt idx="8">
                  <c:v>209</c:v>
                </c:pt>
                <c:pt idx="9">
                  <c:v>200</c:v>
                </c:pt>
                <c:pt idx="10">
                  <c:v>193</c:v>
                </c:pt>
                <c:pt idx="11">
                  <c:v>188</c:v>
                </c:pt>
                <c:pt idx="12">
                  <c:v>182</c:v>
                </c:pt>
                <c:pt idx="13">
                  <c:v>180</c:v>
                </c:pt>
                <c:pt idx="14">
                  <c:v>174</c:v>
                </c:pt>
                <c:pt idx="15">
                  <c:v>178</c:v>
                </c:pt>
                <c:pt idx="16">
                  <c:v>179</c:v>
                </c:pt>
                <c:pt idx="17">
                  <c:v>180</c:v>
                </c:pt>
                <c:pt idx="18">
                  <c:v>182</c:v>
                </c:pt>
                <c:pt idx="19">
                  <c:v>189</c:v>
                </c:pt>
                <c:pt idx="20">
                  <c:v>190</c:v>
                </c:pt>
                <c:pt idx="21">
                  <c:v>193</c:v>
                </c:pt>
                <c:pt idx="22">
                  <c:v>191</c:v>
                </c:pt>
                <c:pt idx="23">
                  <c:v>193</c:v>
                </c:pt>
                <c:pt idx="24">
                  <c:v>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651216"/>
        <c:axId val="333652304"/>
        <c:extLst/>
      </c:lineChart>
      <c:catAx>
        <c:axId val="33365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652304"/>
        <c:crosses val="autoZero"/>
        <c:auto val="1"/>
        <c:lblAlgn val="ctr"/>
        <c:lblOffset val="100"/>
        <c:noMultiLvlLbl val="0"/>
      </c:catAx>
      <c:valAx>
        <c:axId val="33365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65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Cena skupu litra mleka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Cena skupu litra mleka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0.06</c:v>
                </c:pt>
                <c:pt idx="1">
                  <c:v>0.1</c:v>
                </c:pt>
                <c:pt idx="2">
                  <c:v>0.18</c:v>
                </c:pt>
                <c:pt idx="3">
                  <c:v>0.23</c:v>
                </c:pt>
                <c:pt idx="4">
                  <c:v>0.28000000000000003</c:v>
                </c:pt>
                <c:pt idx="5">
                  <c:v>0.44</c:v>
                </c:pt>
                <c:pt idx="6">
                  <c:v>0.51</c:v>
                </c:pt>
                <c:pt idx="7">
                  <c:v>0.59</c:v>
                </c:pt>
                <c:pt idx="8">
                  <c:v>0.61</c:v>
                </c:pt>
                <c:pt idx="9">
                  <c:v>0.61</c:v>
                </c:pt>
                <c:pt idx="10">
                  <c:v>0.78</c:v>
                </c:pt>
                <c:pt idx="11">
                  <c:v>0.78</c:v>
                </c:pt>
                <c:pt idx="12">
                  <c:v>0.72</c:v>
                </c:pt>
                <c:pt idx="13">
                  <c:v>0.72</c:v>
                </c:pt>
                <c:pt idx="14">
                  <c:v>0.87</c:v>
                </c:pt>
                <c:pt idx="15">
                  <c:v>0.93</c:v>
                </c:pt>
                <c:pt idx="16">
                  <c:v>0.93</c:v>
                </c:pt>
                <c:pt idx="17">
                  <c:v>1.07</c:v>
                </c:pt>
                <c:pt idx="18">
                  <c:v>1.02</c:v>
                </c:pt>
                <c:pt idx="19">
                  <c:v>0.9</c:v>
                </c:pt>
                <c:pt idx="20">
                  <c:v>1.07</c:v>
                </c:pt>
                <c:pt idx="21">
                  <c:v>1.21</c:v>
                </c:pt>
                <c:pt idx="22">
                  <c:v>1.2</c:v>
                </c:pt>
                <c:pt idx="23">
                  <c:v>1.17</c:v>
                </c:pt>
                <c:pt idx="24">
                  <c:v>1.1299999999999999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64752"/>
        <c:axId val="44062032"/>
        <c:extLst/>
      </c:lineChart>
      <c:catAx>
        <c:axId val="4406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062032"/>
        <c:crosses val="autoZero"/>
        <c:auto val="1"/>
        <c:lblAlgn val="ctr"/>
        <c:lblOffset val="100"/>
        <c:noMultiLvlLbl val="0"/>
      </c:catAx>
      <c:valAx>
        <c:axId val="440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06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Masło i inne [tys. ton]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Masło i inne [tys. ton]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272</c:v>
                </c:pt>
                <c:pt idx="1">
                  <c:v>195</c:v>
                </c:pt>
                <c:pt idx="2">
                  <c:v>155</c:v>
                </c:pt>
                <c:pt idx="3">
                  <c:v>146</c:v>
                </c:pt>
                <c:pt idx="4">
                  <c:v>120</c:v>
                </c:pt>
                <c:pt idx="5">
                  <c:v>122</c:v>
                </c:pt>
                <c:pt idx="6">
                  <c:v>132</c:v>
                </c:pt>
                <c:pt idx="7">
                  <c:v>135</c:v>
                </c:pt>
                <c:pt idx="8">
                  <c:v>146</c:v>
                </c:pt>
                <c:pt idx="9">
                  <c:v>144</c:v>
                </c:pt>
                <c:pt idx="10">
                  <c:v>139</c:v>
                </c:pt>
                <c:pt idx="11">
                  <c:v>133</c:v>
                </c:pt>
                <c:pt idx="12">
                  <c:v>139.1</c:v>
                </c:pt>
                <c:pt idx="13">
                  <c:v>157.9</c:v>
                </c:pt>
                <c:pt idx="14">
                  <c:v>167</c:v>
                </c:pt>
                <c:pt idx="15">
                  <c:v>177</c:v>
                </c:pt>
                <c:pt idx="16">
                  <c:v>180</c:v>
                </c:pt>
                <c:pt idx="17">
                  <c:v>182</c:v>
                </c:pt>
                <c:pt idx="18">
                  <c:v>182.5</c:v>
                </c:pt>
                <c:pt idx="19">
                  <c:v>182</c:v>
                </c:pt>
                <c:pt idx="20">
                  <c:v>173.9</c:v>
                </c:pt>
                <c:pt idx="21">
                  <c:v>168.6</c:v>
                </c:pt>
                <c:pt idx="22">
                  <c:v>169.8</c:v>
                </c:pt>
                <c:pt idx="23">
                  <c:v>170.1</c:v>
                </c:pt>
                <c:pt idx="24">
                  <c:v>179.6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90176"/>
        <c:axId val="41691264"/>
        <c:extLst/>
      </c:lineChart>
      <c:catAx>
        <c:axId val="4169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91264"/>
        <c:crosses val="autoZero"/>
        <c:auto val="1"/>
        <c:lblAlgn val="ctr"/>
        <c:lblOffset val="100"/>
        <c:noMultiLvlLbl val="0"/>
      </c:catAx>
      <c:valAx>
        <c:axId val="4169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69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Mleko w proszku [tys. ton]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Mleko w proszku [tys. ton]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140</c:v>
                </c:pt>
                <c:pt idx="1">
                  <c:v>147.4</c:v>
                </c:pt>
                <c:pt idx="2">
                  <c:v>139</c:v>
                </c:pt>
                <c:pt idx="3">
                  <c:v>157</c:v>
                </c:pt>
                <c:pt idx="4">
                  <c:v>112</c:v>
                </c:pt>
                <c:pt idx="5">
                  <c:v>128</c:v>
                </c:pt>
                <c:pt idx="6">
                  <c:v>121</c:v>
                </c:pt>
                <c:pt idx="7">
                  <c:v>119.9</c:v>
                </c:pt>
                <c:pt idx="8">
                  <c:v>131</c:v>
                </c:pt>
                <c:pt idx="9">
                  <c:v>109.2</c:v>
                </c:pt>
                <c:pt idx="10">
                  <c:v>119.1</c:v>
                </c:pt>
                <c:pt idx="11">
                  <c:v>150.9</c:v>
                </c:pt>
                <c:pt idx="12">
                  <c:v>150</c:v>
                </c:pt>
                <c:pt idx="13">
                  <c:v>148.69999999999999</c:v>
                </c:pt>
                <c:pt idx="14">
                  <c:v>139</c:v>
                </c:pt>
                <c:pt idx="15">
                  <c:v>142</c:v>
                </c:pt>
                <c:pt idx="16">
                  <c:v>130</c:v>
                </c:pt>
                <c:pt idx="17">
                  <c:v>130</c:v>
                </c:pt>
                <c:pt idx="18">
                  <c:v>120</c:v>
                </c:pt>
                <c:pt idx="19">
                  <c:v>97.9</c:v>
                </c:pt>
                <c:pt idx="20">
                  <c:v>98</c:v>
                </c:pt>
                <c:pt idx="21">
                  <c:v>114.9</c:v>
                </c:pt>
                <c:pt idx="22">
                  <c:v>116</c:v>
                </c:pt>
                <c:pt idx="23">
                  <c:v>101.9</c:v>
                </c:pt>
                <c:pt idx="24">
                  <c:v>108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019936"/>
        <c:axId val="1916021024"/>
        <c:extLst/>
      </c:lineChart>
      <c:catAx>
        <c:axId val="191601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6021024"/>
        <c:crosses val="autoZero"/>
        <c:auto val="1"/>
        <c:lblAlgn val="ctr"/>
        <c:lblOffset val="100"/>
        <c:noMultiLvlLbl val="0"/>
      </c:catAx>
      <c:valAx>
        <c:axId val="191602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601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Sery twarogowe [tys. ton]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Sery twarogowe [tys. ton]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Arkusz1!$B$1:$Z$1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Arkusz1!$B$2:$Z$2</c:f>
              <c:numCache>
                <c:formatCode>General</c:formatCode>
                <c:ptCount val="25"/>
                <c:pt idx="0">
                  <c:v>186</c:v>
                </c:pt>
                <c:pt idx="1">
                  <c:v>166.3</c:v>
                </c:pt>
                <c:pt idx="2">
                  <c:v>165</c:v>
                </c:pt>
                <c:pt idx="3">
                  <c:v>169</c:v>
                </c:pt>
                <c:pt idx="4">
                  <c:v>186</c:v>
                </c:pt>
                <c:pt idx="5">
                  <c:v>198</c:v>
                </c:pt>
                <c:pt idx="6">
                  <c:v>216</c:v>
                </c:pt>
                <c:pt idx="7">
                  <c:v>228.6</c:v>
                </c:pt>
                <c:pt idx="8">
                  <c:v>260</c:v>
                </c:pt>
                <c:pt idx="9">
                  <c:v>272.7</c:v>
                </c:pt>
                <c:pt idx="10">
                  <c:v>262</c:v>
                </c:pt>
                <c:pt idx="11">
                  <c:v>267.60000000000002</c:v>
                </c:pt>
                <c:pt idx="12">
                  <c:v>285.2</c:v>
                </c:pt>
                <c:pt idx="13">
                  <c:v>286.5</c:v>
                </c:pt>
                <c:pt idx="14">
                  <c:v>296</c:v>
                </c:pt>
                <c:pt idx="15">
                  <c:v>295</c:v>
                </c:pt>
                <c:pt idx="16">
                  <c:v>295</c:v>
                </c:pt>
                <c:pt idx="17">
                  <c:v>330</c:v>
                </c:pt>
                <c:pt idx="18">
                  <c:v>329</c:v>
                </c:pt>
                <c:pt idx="19">
                  <c:v>341</c:v>
                </c:pt>
                <c:pt idx="20">
                  <c:v>335</c:v>
                </c:pt>
                <c:pt idx="21">
                  <c:v>384.2</c:v>
                </c:pt>
                <c:pt idx="22">
                  <c:v>386</c:v>
                </c:pt>
                <c:pt idx="23">
                  <c:v>315</c:v>
                </c:pt>
                <c:pt idx="24">
                  <c:v>406.1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017216"/>
        <c:axId val="205493744"/>
        <c:extLst/>
      </c:lineChart>
      <c:catAx>
        <c:axId val="19160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5493744"/>
        <c:crosses val="autoZero"/>
        <c:auto val="1"/>
        <c:lblAlgn val="ctr"/>
        <c:lblOffset val="100"/>
        <c:noMultiLvlLbl val="0"/>
      </c:catAx>
      <c:valAx>
        <c:axId val="20549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601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Eksport</a:t>
            </a:r>
            <a:r>
              <a:rPr lang="pl-PL" baseline="0"/>
              <a:t> i import </a:t>
            </a:r>
            <a:endParaRPr lang="pl-PL"/>
          </a:p>
        </c:rich>
      </c:tx>
      <c:layout>
        <c:manualLayout>
          <c:xMode val="edge"/>
          <c:yMode val="edge"/>
          <c:x val="0.38012039703828232"/>
          <c:y val="4.6267087276550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Arkusz1!$A$12</c:f>
              <c:strCache>
                <c:ptCount val="1"/>
                <c:pt idx="0">
                  <c:v>import w mln 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Arkusz1!$B$12:$Z$12</c:f>
              <c:numCache>
                <c:formatCode>General</c:formatCode>
                <c:ptCount val="25"/>
                <c:pt idx="0">
                  <c:v>95</c:v>
                </c:pt>
                <c:pt idx="1">
                  <c:v>372</c:v>
                </c:pt>
                <c:pt idx="2">
                  <c:v>636</c:v>
                </c:pt>
                <c:pt idx="3">
                  <c:v>359</c:v>
                </c:pt>
                <c:pt idx="4">
                  <c:v>181</c:v>
                </c:pt>
                <c:pt idx="5">
                  <c:v>128</c:v>
                </c:pt>
                <c:pt idx="6">
                  <c:v>165</c:v>
                </c:pt>
                <c:pt idx="7">
                  <c:v>205</c:v>
                </c:pt>
                <c:pt idx="8">
                  <c:v>224</c:v>
                </c:pt>
                <c:pt idx="9">
                  <c:v>347</c:v>
                </c:pt>
                <c:pt idx="10">
                  <c:v>520</c:v>
                </c:pt>
                <c:pt idx="11">
                  <c:v>360</c:v>
                </c:pt>
                <c:pt idx="12">
                  <c:v>321</c:v>
                </c:pt>
                <c:pt idx="13">
                  <c:v>185</c:v>
                </c:pt>
                <c:pt idx="14">
                  <c:v>187</c:v>
                </c:pt>
                <c:pt idx="15">
                  <c:v>295</c:v>
                </c:pt>
                <c:pt idx="16">
                  <c:v>353</c:v>
                </c:pt>
                <c:pt idx="17">
                  <c:v>588</c:v>
                </c:pt>
                <c:pt idx="18">
                  <c:v>644</c:v>
                </c:pt>
                <c:pt idx="19">
                  <c:v>792</c:v>
                </c:pt>
                <c:pt idx="20">
                  <c:v>977</c:v>
                </c:pt>
                <c:pt idx="21">
                  <c:v>1100</c:v>
                </c:pt>
                <c:pt idx="22">
                  <c:v>1084</c:v>
                </c:pt>
                <c:pt idx="23">
                  <c:v>1413</c:v>
                </c:pt>
                <c:pt idx="24">
                  <c:v>1728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Arkusz1!$A$13</c:f>
              <c:strCache>
                <c:ptCount val="1"/>
                <c:pt idx="0">
                  <c:v>eksport w mln 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Arkusz1!$B$13:$Z$13</c:f>
              <c:numCache>
                <c:formatCode>General</c:formatCode>
                <c:ptCount val="25"/>
                <c:pt idx="0">
                  <c:v>461</c:v>
                </c:pt>
                <c:pt idx="1">
                  <c:v>626</c:v>
                </c:pt>
                <c:pt idx="2">
                  <c:v>399</c:v>
                </c:pt>
                <c:pt idx="3">
                  <c:v>788</c:v>
                </c:pt>
                <c:pt idx="4">
                  <c:v>679</c:v>
                </c:pt>
                <c:pt idx="5">
                  <c:v>600</c:v>
                </c:pt>
                <c:pt idx="6">
                  <c:v>785</c:v>
                </c:pt>
                <c:pt idx="7">
                  <c:v>795</c:v>
                </c:pt>
                <c:pt idx="8">
                  <c:v>899</c:v>
                </c:pt>
                <c:pt idx="9">
                  <c:v>830</c:v>
                </c:pt>
                <c:pt idx="10">
                  <c:v>823</c:v>
                </c:pt>
                <c:pt idx="11">
                  <c:v>1320</c:v>
                </c:pt>
                <c:pt idx="12">
                  <c:v>1122</c:v>
                </c:pt>
                <c:pt idx="13">
                  <c:v>1170</c:v>
                </c:pt>
                <c:pt idx="14">
                  <c:v>1987</c:v>
                </c:pt>
                <c:pt idx="15">
                  <c:v>2484</c:v>
                </c:pt>
                <c:pt idx="16">
                  <c:v>2248</c:v>
                </c:pt>
                <c:pt idx="17">
                  <c:v>2546</c:v>
                </c:pt>
                <c:pt idx="18">
                  <c:v>2999</c:v>
                </c:pt>
                <c:pt idx="19">
                  <c:v>2732</c:v>
                </c:pt>
                <c:pt idx="20">
                  <c:v>2764</c:v>
                </c:pt>
                <c:pt idx="21">
                  <c:v>2881</c:v>
                </c:pt>
                <c:pt idx="22">
                  <c:v>3190</c:v>
                </c:pt>
                <c:pt idx="23">
                  <c:v>2851</c:v>
                </c:pt>
                <c:pt idx="24">
                  <c:v>3454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8247024"/>
        <c:axId val="328243216"/>
      </c:lineChart>
      <c:catAx>
        <c:axId val="32824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8243216"/>
        <c:crosses val="autoZero"/>
        <c:auto val="1"/>
        <c:lblAlgn val="ctr"/>
        <c:lblOffset val="100"/>
        <c:noMultiLvlLbl val="0"/>
      </c:catAx>
      <c:valAx>
        <c:axId val="32824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824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Katarzyna Mihułka</cp:lastModifiedBy>
  <cp:revision>7</cp:revision>
  <cp:lastPrinted>2016-06-09T15:16:00Z</cp:lastPrinted>
  <dcterms:created xsi:type="dcterms:W3CDTF">2016-05-05T23:18:00Z</dcterms:created>
  <dcterms:modified xsi:type="dcterms:W3CDTF">2016-06-09T15:16:00Z</dcterms:modified>
</cp:coreProperties>
</file>