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8" w:rsidRPr="00943DFC" w:rsidRDefault="007B49E6" w:rsidP="007B49E6">
      <w:pPr>
        <w:ind w:right="572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sbc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.-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>
        <w:rPr>
          <w:rFonts w:ascii="Times New Roman" w:hAnsi="Times New Roman" w:cs="Times New Roman"/>
          <w:sz w:val="6"/>
          <w:szCs w:val="6"/>
        </w:rPr>
        <w:t>subs.w</w:t>
      </w:r>
      <w:r w:rsidR="00943DFC" w:rsidRPr="00943DFC">
        <w:rPr>
          <w:rFonts w:ascii="Times New Roman" w:hAnsi="Times New Roman" w:cs="Times New Roman"/>
          <w:sz w:val="6"/>
          <w:szCs w:val="6"/>
        </w:rPr>
        <w:t>chodzaca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w interakcję chem lub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fizykochem</w:t>
      </w:r>
      <w:proofErr w:type="spellEnd"/>
      <w:r>
        <w:rPr>
          <w:rFonts w:ascii="Times New Roman" w:hAnsi="Times New Roman" w:cs="Times New Roman"/>
          <w:sz w:val="6"/>
          <w:szCs w:val="6"/>
        </w:rPr>
        <w:t xml:space="preserve"> </w:t>
      </w:r>
      <w:r w:rsidR="00943DFC" w:rsidRPr="00943DFC">
        <w:rPr>
          <w:rFonts w:ascii="Times New Roman" w:hAnsi="Times New Roman" w:cs="Times New Roman"/>
          <w:sz w:val="6"/>
          <w:szCs w:val="6"/>
        </w:rPr>
        <w:t>ze składnikami komórek i tkanek org.</w:t>
      </w:r>
      <w:r>
        <w:rPr>
          <w:rFonts w:ascii="Times New Roman" w:hAnsi="Times New Roman" w:cs="Times New Roman"/>
          <w:sz w:val="6"/>
          <w:szCs w:val="6"/>
        </w:rPr>
        <w:t xml:space="preserve"> żywych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powodując zmiany w przebiegu procesów życiowych (także modyfikacje stanu organizmu i jego oddziaływań ze środowiskiem i innymi org) </w:t>
      </w:r>
      <w:proofErr w:type="spellStart"/>
      <w:r w:rsidR="00943DFC" w:rsidRPr="00943DFC">
        <w:rPr>
          <w:rFonts w:ascii="Times New Roman" w:hAnsi="Times New Roman" w:cs="Times New Roman"/>
          <w:b/>
          <w:sz w:val="6"/>
          <w:szCs w:val="6"/>
        </w:rPr>
        <w:t>ksen</w:t>
      </w:r>
      <w:proofErr w:type="spellEnd"/>
      <w:r w:rsidR="003632C8">
        <w:rPr>
          <w:rFonts w:ascii="Times New Roman" w:hAnsi="Times New Roman" w:cs="Times New Roman"/>
          <w:b/>
          <w:sz w:val="6"/>
          <w:szCs w:val="6"/>
        </w:rPr>
        <w:t>.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- określenie dla sbc pochodzenia innego niż naturalne, znajdujące się w środowisku i w organizmach żywych w wyniku uwalniania jako wynik działalności człowieka. [są to także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subs.pochodzenia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nat</w:t>
      </w:r>
      <w:proofErr w:type="spellEnd"/>
      <w:r>
        <w:rPr>
          <w:rFonts w:ascii="Times New Roman" w:hAnsi="Times New Roman" w:cs="Times New Roman"/>
          <w:sz w:val="6"/>
          <w:szCs w:val="6"/>
        </w:rPr>
        <w:t xml:space="preserve"> lecz obce dla danego org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(wytwarzane przez wrogów biologicznych)].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Toksyczność</w:t>
      </w:r>
      <w:r w:rsidR="00943DFC" w:rsidRPr="00943DFC">
        <w:rPr>
          <w:rFonts w:ascii="Times New Roman" w:hAnsi="Times New Roman" w:cs="Times New Roman"/>
          <w:sz w:val="6"/>
          <w:szCs w:val="6"/>
        </w:rPr>
        <w:t>- zdolność do wywoływania szkodliwych zakłó</w:t>
      </w:r>
      <w:r>
        <w:rPr>
          <w:rFonts w:ascii="Times New Roman" w:hAnsi="Times New Roman" w:cs="Times New Roman"/>
          <w:sz w:val="6"/>
          <w:szCs w:val="6"/>
        </w:rPr>
        <w:t>ceń procesów życiowych w żywym o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rg. </w:t>
      </w:r>
      <w:r w:rsidR="00943DFC" w:rsidRPr="00943DFC">
        <w:rPr>
          <w:rFonts w:ascii="Times New Roman" w:hAnsi="Times New Roman" w:cs="Times New Roman"/>
          <w:b/>
          <w:color w:val="000000" w:themeColor="text1"/>
          <w:sz w:val="6"/>
          <w:szCs w:val="6"/>
        </w:rPr>
        <w:t xml:space="preserve">Trucizną </w:t>
      </w:r>
      <w:r w:rsidR="00943DFC" w:rsidRPr="00943DFC">
        <w:rPr>
          <w:rFonts w:ascii="Times New Roman" w:hAnsi="Times New Roman" w:cs="Times New Roman"/>
          <w:color w:val="000000" w:themeColor="text1"/>
          <w:sz w:val="6"/>
          <w:szCs w:val="6"/>
        </w:rPr>
        <w:t xml:space="preserve">może być ciało stałe, gaz lub ciecz </w:t>
      </w:r>
      <w:r>
        <w:rPr>
          <w:rFonts w:ascii="Times New Roman" w:hAnsi="Times New Roman" w:cs="Times New Roman"/>
          <w:b/>
          <w:sz w:val="6"/>
          <w:szCs w:val="6"/>
        </w:rPr>
        <w:t>S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zkodliwość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– właściwoś</w:t>
      </w:r>
      <w:r>
        <w:rPr>
          <w:rFonts w:ascii="Times New Roman" w:hAnsi="Times New Roman" w:cs="Times New Roman"/>
          <w:sz w:val="6"/>
          <w:szCs w:val="6"/>
        </w:rPr>
        <w:t>ci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subs</w:t>
      </w:r>
      <w:r>
        <w:rPr>
          <w:rFonts w:ascii="Times New Roman" w:hAnsi="Times New Roman" w:cs="Times New Roman"/>
          <w:sz w:val="6"/>
          <w:szCs w:val="6"/>
        </w:rPr>
        <w:t>.t</w:t>
      </w:r>
      <w:r w:rsidR="00943DFC" w:rsidRPr="00943DFC">
        <w:rPr>
          <w:rFonts w:ascii="Times New Roman" w:hAnsi="Times New Roman" w:cs="Times New Roman"/>
          <w:sz w:val="6"/>
          <w:szCs w:val="6"/>
        </w:rPr>
        <w:t>akie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jak:toksyczność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, łatwopalność, właściwości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żrące</w:t>
      </w:r>
      <w:r>
        <w:rPr>
          <w:rFonts w:ascii="Times New Roman" w:hAnsi="Times New Roman" w:cs="Times New Roman"/>
          <w:sz w:val="6"/>
          <w:szCs w:val="6"/>
        </w:rPr>
        <w:t>,itd.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Ryzyko</w:t>
      </w:r>
      <w:proofErr w:type="spellEnd"/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-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uwzględnia przewidywany poziom ekspozycji oraz prawdopodobny jej skutek na tym konkretnym poziomie ekspozycji.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Toksykologia-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degradacja w częściach jadalnych roślin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ekotoksylogia-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degradacja </w:t>
      </w:r>
      <w:r>
        <w:rPr>
          <w:rFonts w:ascii="Times New Roman" w:hAnsi="Times New Roman" w:cs="Times New Roman"/>
          <w:sz w:val="6"/>
          <w:szCs w:val="6"/>
        </w:rPr>
        <w:t xml:space="preserve">w częściach niejadalnych </w:t>
      </w:r>
      <w:proofErr w:type="spellStart"/>
      <w:r>
        <w:rPr>
          <w:rFonts w:ascii="Times New Roman" w:hAnsi="Times New Roman" w:cs="Times New Roman"/>
          <w:sz w:val="6"/>
          <w:szCs w:val="6"/>
        </w:rPr>
        <w:t>roślin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Okres</w:t>
      </w:r>
      <w:proofErr w:type="spellEnd"/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 karencji wyznacza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się aby zapobiec spożywania przez konsumentów resztek pestycydów. Należy znać tempo metabolizmu oraz wyznaczyć poziom sbc która nie zaszkodzi konsumentowi</w:t>
      </w:r>
      <w:r>
        <w:rPr>
          <w:rFonts w:ascii="Times New Roman" w:hAnsi="Times New Roman" w:cs="Times New Roman"/>
          <w:sz w:val="6"/>
          <w:szCs w:val="6"/>
        </w:rPr>
        <w:t>.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MRL(testy to</w:t>
      </w:r>
      <w:r>
        <w:rPr>
          <w:rFonts w:ascii="Times New Roman" w:hAnsi="Times New Roman" w:cs="Times New Roman"/>
          <w:sz w:val="6"/>
          <w:szCs w:val="6"/>
        </w:rPr>
        <w:t>ksylogiczne przeprowadzane na psach).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TDD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- progowa dawka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dzienna;nieszkodliwa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dla zwierzęcia doświadczalnego pomimo narażenia na działanie; podawany w przeliczeniu na 1kg masy ciała.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ADI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dopuszczalna dawka dziennego pobrania- dotyczy człowieka. Od ADI - MRL bierze się pod uwagę: ADI, przeciętne dzienne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spozycie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produktu, wysokość MRL dla danej sbc.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>Transport sbc w glebie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: </w:t>
      </w:r>
      <w:r>
        <w:rPr>
          <w:rFonts w:ascii="Times New Roman" w:hAnsi="Times New Roman" w:cs="Times New Roman"/>
          <w:sz w:val="6"/>
          <w:szCs w:val="6"/>
        </w:rPr>
        <w:t xml:space="preserve">poprzez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wymywanie i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wmywanie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( transport w roztworze glebowym) ; spływ powierzchniowy (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transp.z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cz.stałymi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)  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tworzenie pozostałości związanej: </w:t>
      </w:r>
      <w:r w:rsidR="00943DFC" w:rsidRPr="00943DFC">
        <w:rPr>
          <w:rFonts w:ascii="Times New Roman" w:hAnsi="Times New Roman" w:cs="Times New Roman"/>
          <w:sz w:val="6"/>
          <w:szCs w:val="6"/>
        </w:rPr>
        <w:t>trwałych połączeń substancji aktywnej pestycydu lub jej metabolitu ze składnikami ścian komórkowych (ligniną, białkiem). Na jej wielkość i ilość wpływa ilość pestycydu, która dostała się do środowiska z działalności człowieka (opryskiwanie ŚOR)  a dalej do żywności, paszy cz</w:t>
      </w:r>
      <w:r>
        <w:rPr>
          <w:rFonts w:ascii="Times New Roman" w:hAnsi="Times New Roman" w:cs="Times New Roman"/>
          <w:sz w:val="6"/>
          <w:szCs w:val="6"/>
        </w:rPr>
        <w:t>y resztek pożniwnych (</w:t>
      </w:r>
      <w:proofErr w:type="spellStart"/>
      <w:r>
        <w:rPr>
          <w:rFonts w:ascii="Times New Roman" w:hAnsi="Times New Roman" w:cs="Times New Roman"/>
          <w:sz w:val="6"/>
          <w:szCs w:val="6"/>
        </w:rPr>
        <w:t>roslin</w:t>
      </w:r>
      <w:proofErr w:type="spellEnd"/>
      <w:r>
        <w:rPr>
          <w:rFonts w:ascii="Times New Roman" w:hAnsi="Times New Roman" w:cs="Times New Roman"/>
          <w:sz w:val="6"/>
          <w:szCs w:val="6"/>
        </w:rPr>
        <w:t>).</w:t>
      </w:r>
      <w:r>
        <w:rPr>
          <w:rFonts w:ascii="Times New Roman" w:hAnsi="Times New Roman" w:cs="Times New Roman"/>
          <w:b/>
          <w:sz w:val="6"/>
          <w:szCs w:val="6"/>
        </w:rPr>
        <w:t xml:space="preserve">Przemieszczanie ksenobiotyków: </w:t>
      </w:r>
      <w:r>
        <w:rPr>
          <w:rFonts w:ascii="Times New Roman" w:hAnsi="Times New Roman" w:cs="Times New Roman"/>
          <w:sz w:val="6"/>
          <w:szCs w:val="6"/>
        </w:rPr>
        <w:t>Wszystko przez człowieka,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t>używając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proofErr w:type="spellStart"/>
      <w:r w:rsidR="00943DFC" w:rsidRPr="00943DFC">
        <w:rPr>
          <w:rFonts w:ascii="Times New Roman" w:hAnsi="Times New Roman" w:cs="Times New Roman"/>
          <w:sz w:val="6"/>
          <w:szCs w:val="6"/>
        </w:rPr>
        <w:t>kseno</w:t>
      </w:r>
      <w:proofErr w:type="spellEnd"/>
      <w:r w:rsidR="00943DFC" w:rsidRPr="00943DFC">
        <w:rPr>
          <w:rFonts w:ascii="Times New Roman" w:hAnsi="Times New Roman" w:cs="Times New Roman"/>
          <w:sz w:val="6"/>
          <w:szCs w:val="6"/>
        </w:rPr>
        <w:t xml:space="preserve"> przyczynia się do degradacji środowiska. Źle zabezpieczone brzegi przyczyniają się do dostawania się ksenobiotyków  z gleby do wody. Dodatkowo zanieczyszczenia które zostały zrzucone do wody rozprzestrzeniają się płynąc z prądem </w:t>
      </w:r>
      <w:r>
        <w:rPr>
          <w:rFonts w:ascii="Times New Roman" w:hAnsi="Times New Roman" w:cs="Times New Roman"/>
          <w:b/>
          <w:sz w:val="6"/>
          <w:szCs w:val="6"/>
        </w:rPr>
        <w:t>Płazy</w:t>
      </w:r>
      <w:r w:rsidR="00943DFC" w:rsidRPr="00943DFC">
        <w:rPr>
          <w:rFonts w:ascii="Times New Roman" w:hAnsi="Times New Roman" w:cs="Times New Roman"/>
          <w:b/>
          <w:sz w:val="6"/>
          <w:szCs w:val="6"/>
        </w:rPr>
        <w:t xml:space="preserve">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Zaburzenia rozwojowe: Biotyczne – pasożyty, patogeny, Czynniki biotyczne pod dodatkowym wpływem antropogenicznym Czynniki antropogeniczne działające bezpośrednio: </w:t>
      </w:r>
      <w:r w:rsidRPr="00943DFC">
        <w:rPr>
          <w:rFonts w:ascii="Times New Roman" w:hAnsi="Times New Roman" w:cs="Times New Roman"/>
          <w:sz w:val="6"/>
          <w:szCs w:val="6"/>
        </w:rPr>
        <w:t>pestycydy; Większa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</w:t>
      </w:r>
      <w:r w:rsidRPr="00943DFC">
        <w:rPr>
          <w:rFonts w:ascii="Times New Roman" w:hAnsi="Times New Roman" w:cs="Times New Roman"/>
          <w:sz w:val="6"/>
          <w:szCs w:val="6"/>
        </w:rPr>
        <w:t>podatność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na drapieżnictwo – wyższa śmiertelność;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Niezdolność </w:t>
      </w:r>
      <w:r w:rsidRPr="00943DFC">
        <w:rPr>
          <w:rFonts w:ascii="Times New Roman" w:hAnsi="Times New Roman" w:cs="Times New Roman"/>
          <w:sz w:val="6"/>
          <w:szCs w:val="6"/>
        </w:rPr>
        <w:t>do</w:t>
      </w:r>
      <w:r w:rsidR="00943DFC" w:rsidRPr="00943DFC">
        <w:rPr>
          <w:rFonts w:ascii="Times New Roman" w:hAnsi="Times New Roman" w:cs="Times New Roman"/>
          <w:sz w:val="6"/>
          <w:szCs w:val="6"/>
        </w:rPr>
        <w:t xml:space="preserve"> reprodukcji lub zmniejszona płodność </w:t>
      </w:r>
      <w:r>
        <w:rPr>
          <w:rFonts w:ascii="Times New Roman" w:hAnsi="Times New Roman" w:cs="Times New Roman"/>
          <w:sz w:val="6"/>
          <w:szCs w:val="6"/>
        </w:rPr>
        <w:t xml:space="preserve">– zmniejszony przyrost </w:t>
      </w:r>
      <w:proofErr w:type="spellStart"/>
      <w:r>
        <w:rPr>
          <w:rFonts w:ascii="Times New Roman" w:hAnsi="Times New Roman" w:cs="Times New Roman"/>
          <w:sz w:val="6"/>
          <w:szCs w:val="6"/>
        </w:rPr>
        <w:t>nat</w:t>
      </w:r>
      <w:bookmarkStart w:id="0" w:name="_GoBack"/>
      <w:bookmarkEnd w:id="0"/>
      <w:proofErr w:type="spellEnd"/>
    </w:p>
    <w:p w:rsidR="00943DFC" w:rsidRDefault="00943DFC" w:rsidP="003632C8">
      <w:pPr>
        <w:ind w:left="360" w:right="5670"/>
      </w:pPr>
    </w:p>
    <w:p w:rsidR="00943DFC" w:rsidRDefault="00943DFC" w:rsidP="003632C8">
      <w:pPr>
        <w:ind w:left="360" w:right="5670"/>
      </w:pPr>
    </w:p>
    <w:p w:rsidR="00943DFC" w:rsidRDefault="00943DFC" w:rsidP="003632C8">
      <w:pPr>
        <w:ind w:left="360" w:right="5670"/>
      </w:pPr>
    </w:p>
    <w:p w:rsidR="00943DFC" w:rsidRDefault="00943DFC" w:rsidP="003632C8">
      <w:pPr>
        <w:ind w:left="360" w:right="5670"/>
      </w:pPr>
    </w:p>
    <w:p w:rsidR="00943DFC" w:rsidRDefault="00943DFC" w:rsidP="003632C8">
      <w:pPr>
        <w:ind w:left="360" w:right="5670"/>
      </w:pPr>
    </w:p>
    <w:p w:rsidR="00943DFC" w:rsidRDefault="00943DFC" w:rsidP="003632C8">
      <w:pPr>
        <w:ind w:left="360" w:right="5670"/>
      </w:pPr>
    </w:p>
    <w:p w:rsidR="00FE7491" w:rsidRDefault="00FE7491" w:rsidP="003632C8">
      <w:pPr>
        <w:ind w:right="5670"/>
      </w:pPr>
    </w:p>
    <w:sectPr w:rsidR="00FE7491" w:rsidSect="0098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B4F"/>
    <w:multiLevelType w:val="hybridMultilevel"/>
    <w:tmpl w:val="35183CF4"/>
    <w:lvl w:ilvl="0" w:tplc="EAD8D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5B5C"/>
    <w:multiLevelType w:val="hybridMultilevel"/>
    <w:tmpl w:val="648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FC"/>
    <w:rsid w:val="003632C8"/>
    <w:rsid w:val="007B49E6"/>
    <w:rsid w:val="00943DFC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0B42-A3BB-471A-9134-91AE9EB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Mihułka</cp:lastModifiedBy>
  <cp:revision>3</cp:revision>
  <dcterms:created xsi:type="dcterms:W3CDTF">2015-06-10T16:31:00Z</dcterms:created>
  <dcterms:modified xsi:type="dcterms:W3CDTF">2015-06-10T17:22:00Z</dcterms:modified>
</cp:coreProperties>
</file>