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8D" w:rsidRPr="00B3505F" w:rsidRDefault="00FB7406" w:rsidP="00B3505F">
      <w:pPr>
        <w:spacing w:after="0" w:line="240" w:lineRule="auto"/>
        <w:jc w:val="right"/>
        <w:rPr>
          <w:b/>
          <w:u w:val="single"/>
        </w:rPr>
      </w:pPr>
      <w:bookmarkStart w:id="0" w:name="_GoBack"/>
      <w:r w:rsidRPr="00B3505F">
        <w:t xml:space="preserve">ćwiczenia </w:t>
      </w:r>
      <w:r w:rsidR="00B3505F" w:rsidRPr="00B3505F">
        <w:t xml:space="preserve">IV </w:t>
      </w:r>
      <w:r w:rsidRPr="00B3505F">
        <w:t>19.01.2014r.</w:t>
      </w:r>
    </w:p>
    <w:bookmarkEnd w:id="0"/>
    <w:p w:rsidR="00FB7406" w:rsidRPr="00B3505F" w:rsidRDefault="00FB7406" w:rsidP="00B3505F">
      <w:pPr>
        <w:spacing w:after="0" w:line="240" w:lineRule="auto"/>
        <w:rPr>
          <w:b/>
          <w:u w:val="single"/>
        </w:rPr>
      </w:pPr>
      <w:r w:rsidRPr="00B3505F">
        <w:rPr>
          <w:b/>
          <w:u w:val="single"/>
        </w:rPr>
        <w:t>Analiza rynku w przestrzeni</w:t>
      </w:r>
    </w:p>
    <w:p w:rsidR="00860746" w:rsidRPr="00B3505F" w:rsidRDefault="00860746" w:rsidP="00B3505F">
      <w:pPr>
        <w:spacing w:after="0" w:line="240" w:lineRule="auto"/>
        <w:rPr>
          <w:b/>
        </w:rPr>
      </w:pPr>
      <w:r w:rsidRPr="00B3505F">
        <w:rPr>
          <w:b/>
        </w:rPr>
        <w:t>I. Przestrzenne aspekty zjawisk rynkowych</w:t>
      </w:r>
    </w:p>
    <w:p w:rsidR="00FB7406" w:rsidRPr="00B3505F" w:rsidRDefault="00FB7406" w:rsidP="00B3505F">
      <w:pPr>
        <w:spacing w:after="0" w:line="240" w:lineRule="auto"/>
      </w:pPr>
      <w:r w:rsidRPr="00B3505F">
        <w:t xml:space="preserve"> Każdy z elementów rynku (np. czynniki wytwórcze, popyt, cena) może i powinien być mierzony oraz analizowany w ujęciu przestrzennym.</w:t>
      </w:r>
    </w:p>
    <w:p w:rsidR="00FB7406" w:rsidRPr="00B3505F" w:rsidRDefault="00FB7406" w:rsidP="00B3505F">
      <w:pPr>
        <w:spacing w:after="0" w:line="240" w:lineRule="auto"/>
      </w:pPr>
      <w:r w:rsidRPr="00B3505F">
        <w:t xml:space="preserve">Globalne strategie rozwoju przedsiębiorstw opierają się </w:t>
      </w:r>
      <w:r w:rsidR="00860746" w:rsidRPr="00B3505F">
        <w:t>z jednej strony na poszukiwaniu tanich miejsc wytwarzania, a z drugiej na znalezieniu dużych rynków zbytu.</w:t>
      </w:r>
    </w:p>
    <w:p w:rsidR="00860746" w:rsidRPr="00B3505F" w:rsidRDefault="00860746" w:rsidP="00B3505F">
      <w:pPr>
        <w:spacing w:after="0" w:line="240" w:lineRule="auto"/>
      </w:pPr>
      <w:r w:rsidRPr="00B3505F">
        <w:t>Niezależnie od tego, czy:</w:t>
      </w:r>
      <w:r w:rsidRPr="00B3505F">
        <w:br/>
        <w:t>-firma ma charakter globalny (korporacje transnarodowe) lub</w:t>
      </w:r>
      <w:r w:rsidRPr="00B3505F">
        <w:br/>
        <w:t>-jest małym (lokalnym) przedsiębiorstwem niszowym</w:t>
      </w:r>
      <w:r w:rsidRPr="00B3505F">
        <w:br/>
        <w:t>powinna analizować różne aspekty rynku w przestrzeni, ponieważ jest to czynnik, który może istotnie wpływać na stawiane przedsiębiorstwu cele i sposoby ich osiągania.</w:t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860746" w:rsidRPr="00B3505F" w:rsidRDefault="00860746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t>1. Kierunki poszukiwań i różne aspekty analizy rynku w przestrzeni.</w:t>
      </w:r>
    </w:p>
    <w:p w:rsidR="00860746" w:rsidRPr="00B3505F" w:rsidRDefault="00860746" w:rsidP="00B3505F">
      <w:pPr>
        <w:spacing w:after="0" w:line="240" w:lineRule="auto"/>
      </w:pPr>
      <w:r w:rsidRPr="00B3505F">
        <w:t>Analiza kosztów wytwarzania w skali globalnej może pomóc w podejmowaniu różnorodnych decyzji, np.:</w:t>
      </w:r>
      <w:r w:rsidRPr="00B3505F">
        <w:br/>
        <w:t>-budowania odlewni w odpowiednim miejscu w Chinach,</w:t>
      </w:r>
      <w:r w:rsidRPr="00B3505F">
        <w:br/>
        <w:t>-prowadzenia rozmów telefonicznych z Wietnamu,</w:t>
      </w:r>
      <w:r w:rsidRPr="00B3505F">
        <w:br/>
        <w:t>- produkcji róż na Bliskim Wschodzie, co może zmienić strukturę dostaw na giełdę kwiatów w Amsterdamie.</w:t>
      </w:r>
    </w:p>
    <w:p w:rsidR="00860746" w:rsidRPr="00B3505F" w:rsidRDefault="00860746" w:rsidP="00B3505F">
      <w:pPr>
        <w:spacing w:after="0" w:line="240" w:lineRule="auto"/>
      </w:pPr>
      <w:r w:rsidRPr="00B3505F">
        <w:t>Przestrzeń ma często charakter czynnika przyciągającego pewne rodzaje biznesu, np.:</w:t>
      </w:r>
      <w:r w:rsidRPr="00B3505F">
        <w:br/>
        <w:t>-Dolina Krzemowa w USA,</w:t>
      </w:r>
      <w:r w:rsidRPr="00B3505F">
        <w:br/>
        <w:t>-firmy farmaceutyczne w Szwajcarii,</w:t>
      </w:r>
      <w:r w:rsidRPr="00B3505F">
        <w:br/>
        <w:t>-zakłady stolarskie w Swarzędzu koło Poznania</w:t>
      </w:r>
      <w:r w:rsidRPr="00B3505F">
        <w:br/>
        <w:t>stanowią przykłady koncentracji przemysłu, myśli technologicznej oraz usług w przestrzeni.</w:t>
      </w:r>
    </w:p>
    <w:p w:rsidR="00860746" w:rsidRPr="00B3505F" w:rsidRDefault="00860746" w:rsidP="00B3505F">
      <w:pPr>
        <w:spacing w:after="0" w:line="240" w:lineRule="auto"/>
      </w:pPr>
      <w:r w:rsidRPr="00B3505F">
        <w:t>Nauka dowodzi, że takie nagromadzenie przedsiębiorstw w przestrzeni może dobrze wpływać na ich rozwój.</w:t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860746" w:rsidRPr="00B3505F" w:rsidRDefault="00860746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t>2. Metody analizy rynku w przestrzeni.</w:t>
      </w:r>
    </w:p>
    <w:p w:rsidR="00860746" w:rsidRPr="00B3505F" w:rsidRDefault="005C0049" w:rsidP="00B3505F">
      <w:pPr>
        <w:spacing w:after="0" w:line="240" w:lineRule="auto"/>
        <w:ind w:firstLine="708"/>
      </w:pPr>
      <w:r w:rsidRPr="00B3505F">
        <w:t>W analizach przestrzennych zwykle wykorzystuje się:</w:t>
      </w:r>
      <w:r w:rsidRPr="00B3505F">
        <w:br/>
        <w:t>-wartości średnie,</w:t>
      </w:r>
      <w:r w:rsidRPr="00B3505F">
        <w:br/>
        <w:t>-miary zmienności koncentracji,</w:t>
      </w:r>
      <w:r w:rsidRPr="00B3505F">
        <w:br/>
        <w:t>-metody tendencji rozwojowej,</w:t>
      </w:r>
      <w:r w:rsidRPr="00B3505F">
        <w:br/>
        <w:t>-analizę wahań sezonowych,</w:t>
      </w:r>
      <w:r w:rsidRPr="00B3505F">
        <w:br/>
        <w:t>-modele przyczynowo-skutkowe,</w:t>
      </w:r>
      <w:r w:rsidRPr="00B3505F">
        <w:br/>
        <w:t>-metody taksonomiczne, mające na celu grupowanie jednostek przestrzennych.</w:t>
      </w:r>
    </w:p>
    <w:p w:rsidR="005C0049" w:rsidRPr="00B3505F" w:rsidRDefault="005C0049" w:rsidP="00B3505F">
      <w:pPr>
        <w:spacing w:after="0" w:line="240" w:lineRule="auto"/>
        <w:ind w:firstLine="708"/>
      </w:pPr>
      <w:r w:rsidRPr="00B3505F">
        <w:t>Użyteczne są także wskaźniki natężenia, np.:</w:t>
      </w:r>
      <w:r w:rsidRPr="00B3505F">
        <w:br/>
        <w:t>-obliczanie liczby zwierząt przypadających na 100 ha UR ułatwi podejmowanie decyzji o zorganizowaniu sprzedaży pasz,</w:t>
      </w:r>
      <w:r w:rsidRPr="00B3505F">
        <w:br/>
        <w:t>-informacja o liczbie osób przypadających na 1 sklep w miastach powyżej 20tys. mieszkańców będzie pomocna dla właściciela sieci sklepów przy podejmowaniu decyzji lokalizacyjnych.</w:t>
      </w:r>
    </w:p>
    <w:p w:rsidR="002256FA" w:rsidRPr="00B3505F" w:rsidRDefault="002256FA" w:rsidP="00B3505F">
      <w:pPr>
        <w:spacing w:after="0" w:line="240" w:lineRule="auto"/>
        <w:ind w:firstLine="708"/>
      </w:pPr>
      <w:r w:rsidRPr="00B3505F">
        <w:t>Analiza wybranych elementów rynku może się także opierać na wykorzystaniu indeksów dynamiki w odniesieniu do jednostek przestrzennych, np.:</w:t>
      </w:r>
      <w:r w:rsidRPr="00B3505F">
        <w:br/>
        <w:t>-obliczenie dynamiki nakładów inwestycyjnych w największych miastach w Polsce pozwoli na prześledzenie zmian w przestrzeni w wybranym przedziale czasu.</w:t>
      </w:r>
    </w:p>
    <w:p w:rsidR="002256FA" w:rsidRPr="00B3505F" w:rsidRDefault="002256FA" w:rsidP="00B3505F">
      <w:pPr>
        <w:spacing w:after="0" w:line="240" w:lineRule="auto"/>
      </w:pPr>
      <w:r w:rsidRPr="00B3505F">
        <w:t>W rozważaniach mogą być wykorzystywane zarówno wskaźniki tempa wzrostu, jak i wskaźniki dynamiki (o podstawie stałej lub zmiennej).</w:t>
      </w:r>
    </w:p>
    <w:p w:rsidR="00B3505F" w:rsidRPr="00B3505F" w:rsidRDefault="00B3505F" w:rsidP="00B3505F">
      <w:pPr>
        <w:spacing w:after="0" w:line="240" w:lineRule="auto"/>
        <w:rPr>
          <w:b/>
        </w:rPr>
      </w:pPr>
    </w:p>
    <w:p w:rsidR="002256FA" w:rsidRPr="00B3505F" w:rsidRDefault="002256FA" w:rsidP="00B3505F">
      <w:pPr>
        <w:spacing w:after="0" w:line="240" w:lineRule="auto"/>
        <w:rPr>
          <w:b/>
        </w:rPr>
      </w:pPr>
      <w:r w:rsidRPr="00B3505F">
        <w:rPr>
          <w:b/>
        </w:rPr>
        <w:t xml:space="preserve">II. Prawo grawitacji detalu </w:t>
      </w:r>
      <w:proofErr w:type="spellStart"/>
      <w:r w:rsidRPr="00B3505F">
        <w:rPr>
          <w:b/>
        </w:rPr>
        <w:t>Reilly'ego</w:t>
      </w:r>
      <w:proofErr w:type="spellEnd"/>
    </w:p>
    <w:p w:rsidR="002256FA" w:rsidRPr="00B3505F" w:rsidRDefault="002256FA" w:rsidP="00B3505F">
      <w:pPr>
        <w:spacing w:after="0" w:line="240" w:lineRule="auto"/>
      </w:pPr>
      <w:r w:rsidRPr="00B3505F">
        <w:t>Analiza rynku w przekroju przestrzennym pozwala na mierzenie znaczenia oraz zasięgu oddziaływania ośrodków regionalnych.</w:t>
      </w:r>
    </w:p>
    <w:p w:rsidR="002256FA" w:rsidRPr="00B3505F" w:rsidRDefault="002256FA" w:rsidP="00B3505F">
      <w:pPr>
        <w:spacing w:after="0" w:line="240" w:lineRule="auto"/>
      </w:pPr>
      <w:r w:rsidRPr="00B3505F">
        <w:t>Zaobserwowano, iż zlokalizowanie obiektu detalicznego w danym mieście przyciąga nie tylko ludność miasta, lecz także okolic. Jeśli więc rozpatrujemy dwa ośrodki miejskie położone w pewnej odległości od siebie, możemy zapytać, jaką siłę przyciągania ma każdy z nich.</w:t>
      </w:r>
    </w:p>
    <w:p w:rsidR="002256FA" w:rsidRPr="00B3505F" w:rsidRDefault="002256FA" w:rsidP="00B3505F">
      <w:pPr>
        <w:spacing w:after="0" w:line="240" w:lineRule="auto"/>
      </w:pPr>
      <w:r w:rsidRPr="00B3505F">
        <w:t>Możemy również zapytać, gdzie przebiega granica, która podzieli przestrzeń na strefę wpływów każdego z ośrodków.</w:t>
      </w:r>
    </w:p>
    <w:p w:rsidR="002256FA" w:rsidRPr="00B3505F" w:rsidRDefault="002256FA" w:rsidP="00B3505F">
      <w:pPr>
        <w:spacing w:after="0" w:line="240" w:lineRule="auto"/>
      </w:pPr>
      <w:r w:rsidRPr="00B3505F">
        <w:t>Odpowiedzi na te pytania mogą mieć znaczenie nie tylko dla potencjalnego inwestora, lecz także władz samorządowych, które rozważają kwestię decyzji lokalizacyjnej.</w:t>
      </w:r>
    </w:p>
    <w:p w:rsidR="002256FA" w:rsidRPr="00B3505F" w:rsidRDefault="002256FA" w:rsidP="00B3505F">
      <w:pPr>
        <w:spacing w:after="0" w:line="240" w:lineRule="auto"/>
      </w:pPr>
      <w:r w:rsidRPr="00B3505F">
        <w:t xml:space="preserve">Prawo </w:t>
      </w:r>
      <w:proofErr w:type="spellStart"/>
      <w:r w:rsidRPr="00B3505F">
        <w:t>Reilly'ego</w:t>
      </w:r>
      <w:proofErr w:type="spellEnd"/>
      <w:r w:rsidRPr="00B3505F">
        <w:t xml:space="preserve"> opiera się na założeniu, że zasięg oddziaływania dwóch ośrodków jest wprost proporcjonalna do liczby </w:t>
      </w:r>
      <w:r w:rsidR="00BA122F" w:rsidRPr="00B3505F">
        <w:t>ludności obu ośrodków, a odwrotnie proporcjonalna do kwadratu odległości dzielącej każdy z tych ośrodków od miejscowości leżącej między nimi.</w:t>
      </w:r>
    </w:p>
    <w:p w:rsidR="00B3505F" w:rsidRDefault="00B3505F" w:rsidP="00B3505F">
      <w:pPr>
        <w:spacing w:after="0" w:line="240" w:lineRule="auto"/>
        <w:rPr>
          <w:b/>
        </w:rPr>
      </w:pPr>
    </w:p>
    <w:p w:rsidR="00B3505F" w:rsidRDefault="00B3505F" w:rsidP="00B3505F">
      <w:pPr>
        <w:spacing w:after="0" w:line="240" w:lineRule="auto"/>
        <w:rPr>
          <w:b/>
        </w:rPr>
      </w:pPr>
    </w:p>
    <w:p w:rsidR="00B3505F" w:rsidRDefault="00B3505F" w:rsidP="00B3505F">
      <w:pPr>
        <w:spacing w:after="0" w:line="240" w:lineRule="auto"/>
        <w:rPr>
          <w:b/>
        </w:rPr>
      </w:pPr>
    </w:p>
    <w:p w:rsidR="00BA122F" w:rsidRPr="00B3505F" w:rsidRDefault="00BA122F" w:rsidP="00B3505F">
      <w:pPr>
        <w:spacing w:after="0" w:line="240" w:lineRule="auto"/>
      </w:pPr>
      <w:r w:rsidRPr="00B3505F">
        <w:rPr>
          <w:b/>
        </w:rPr>
        <w:lastRenderedPageBreak/>
        <w:t>Przykład</w:t>
      </w:r>
      <w:r w:rsidRPr="00B3505F">
        <w:t xml:space="preserve">: Przyjmujemy, że mamy dwa ośrodki miejskie A i B oraz miasto C, położone między nimi. W naszym przykładzie mogą to być Poznań i Gniezno oraz położona między nimi miejscowość </w:t>
      </w:r>
      <w:proofErr w:type="spellStart"/>
      <w:r w:rsidRPr="00B3505F">
        <w:t>Pobrodziska</w:t>
      </w:r>
      <w:proofErr w:type="spellEnd"/>
      <w:r w:rsidRPr="00B3505F">
        <w:t>. Siłę oddziaływania obydwu miast oblicza się według wzoru:</w:t>
      </w:r>
    </w:p>
    <w:p w:rsidR="00BA122F" w:rsidRPr="00B3505F" w:rsidRDefault="00B3505F" w:rsidP="00B3505F">
      <w:pPr>
        <w:spacing w:after="0" w:line="240" w:lineRule="auto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Zakupy w A</m:t>
              </m:r>
            </m:num>
            <m:den>
              <m:r>
                <w:rPr>
                  <w:rFonts w:ascii="Cambria Math" w:hAnsi="Cambria Math"/>
                </w:rPr>
                <m:t>zakupy w B</m:t>
              </m:r>
            </m:den>
          </m:f>
          <m: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Liczba ludności 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Liczba ludności B</m:t>
                          </m:r>
                        </m:den>
                      </m:f>
                    </m:e>
                  </m:box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Odległość C do 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Odległość C do A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^2</m:t>
                  </m:r>
                </m:den>
              </m:f>
            </m:e>
          </m:box>
        </m:oMath>
      </m:oMathPara>
    </w:p>
    <w:p w:rsidR="006408BB" w:rsidRPr="00B3505F" w:rsidRDefault="006408BB" w:rsidP="00B3505F">
      <w:pPr>
        <w:spacing w:after="0" w:line="240" w:lineRule="auto"/>
      </w:pPr>
      <w:r w:rsidRPr="00B3505F">
        <w:t>Z materiałów wtórnych uzyskujemy następujące informacje:</w:t>
      </w:r>
      <w:r w:rsidRPr="00B3505F">
        <w:br/>
        <w:t>- Liczba ludności Poznania</w:t>
      </w:r>
      <w:r w:rsidRPr="00B3505F">
        <w:tab/>
        <w:t>-650 000 mieszkańców</w:t>
      </w:r>
      <w:r w:rsidRPr="00B3505F">
        <w:br/>
        <w:t>- Liczba ludności Gniezna</w:t>
      </w:r>
      <w:r w:rsidRPr="00B3505F">
        <w:tab/>
        <w:t>- 95 000 mieszkańców</w:t>
      </w:r>
      <w:r w:rsidRPr="00B3505F">
        <w:br/>
        <w:t xml:space="preserve">- Odległość z Poznania do </w:t>
      </w:r>
      <w:proofErr w:type="spellStart"/>
      <w:r w:rsidRPr="00B3505F">
        <w:t>Pobrodzisk</w:t>
      </w:r>
      <w:proofErr w:type="spellEnd"/>
      <w:r w:rsidRPr="00B3505F">
        <w:tab/>
        <w:t>-30 km</w:t>
      </w:r>
      <w:r w:rsidRPr="00B3505F">
        <w:br/>
        <w:t xml:space="preserve">- </w:t>
      </w:r>
      <w:proofErr w:type="spellStart"/>
      <w:r w:rsidRPr="00B3505F">
        <w:t>Odległosć</w:t>
      </w:r>
      <w:proofErr w:type="spellEnd"/>
      <w:r w:rsidRPr="00B3505F">
        <w:t xml:space="preserve"> z Gniezna do </w:t>
      </w:r>
      <w:proofErr w:type="spellStart"/>
      <w:r w:rsidRPr="00B3505F">
        <w:t>Pobrodzisk</w:t>
      </w:r>
      <w:proofErr w:type="spellEnd"/>
      <w:r w:rsidRPr="00B3505F">
        <w:tab/>
        <w:t>- 20km</w:t>
      </w:r>
    </w:p>
    <w:p w:rsidR="006408BB" w:rsidRPr="00B3505F" w:rsidRDefault="006408BB" w:rsidP="00B3505F">
      <w:pPr>
        <w:spacing w:after="0" w:line="240" w:lineRule="auto"/>
      </w:pPr>
      <w:r w:rsidRPr="00B3505F">
        <w:t>Po podstawieniu tych danych do wzorów otrzymujemy:</w:t>
      </w:r>
    </w:p>
    <w:p w:rsidR="006408BB" w:rsidRPr="00B3505F" w:rsidRDefault="00B3505F" w:rsidP="00B3505F">
      <w:pPr>
        <w:spacing w:after="0" w:line="24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zakupy w A</m:t>
              </m:r>
            </m:num>
            <m:den>
              <m:r>
                <w:rPr>
                  <w:rFonts w:ascii="Cambria Math" w:hAnsi="Cambria Math"/>
                </w:rPr>
                <m:t>zakupy w B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650 000</m:t>
                  </m:r>
                </m:num>
                <m:den>
                  <m:r>
                    <w:rPr>
                      <w:rFonts w:ascii="Cambria Math" w:hAnsi="Cambria Math"/>
                    </w:rPr>
                    <m:t>95 000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^2</m:t>
              </m:r>
            </m:den>
          </m:f>
          <m:r>
            <w:rPr>
              <w:rFonts w:ascii="Cambria Math" w:hAnsi="Cambria Math"/>
            </w:rPr>
            <m:t>=15</m:t>
          </m:r>
        </m:oMath>
      </m:oMathPara>
    </w:p>
    <w:p w:rsidR="006408BB" w:rsidRPr="00B3505F" w:rsidRDefault="006408BB" w:rsidP="00B3505F">
      <w:pPr>
        <w:spacing w:after="0" w:line="240" w:lineRule="auto"/>
      </w:pPr>
      <w:r w:rsidRPr="00B3505F">
        <w:t xml:space="preserve">Otrzymany wynik wskazuje, że przeciętnie na jeden zakup mieszkańców </w:t>
      </w:r>
      <w:proofErr w:type="spellStart"/>
      <w:r w:rsidRPr="00B3505F">
        <w:t>Pobrodzisk</w:t>
      </w:r>
      <w:proofErr w:type="spellEnd"/>
      <w:r w:rsidRPr="00B3505F">
        <w:t xml:space="preserve"> w Gnieźnie przypada 15 zakupów mieszkańców </w:t>
      </w:r>
      <w:proofErr w:type="spellStart"/>
      <w:r w:rsidRPr="00B3505F">
        <w:t>Pobrodzisk</w:t>
      </w:r>
      <w:proofErr w:type="spellEnd"/>
      <w:r w:rsidRPr="00B3505F">
        <w:t xml:space="preserve"> w Poznaniu. Oznacza to, że mimo większej </w:t>
      </w:r>
      <w:proofErr w:type="spellStart"/>
      <w:r w:rsidRPr="00B3505F">
        <w:t>odległośći</w:t>
      </w:r>
      <w:proofErr w:type="spellEnd"/>
      <w:r w:rsidRPr="00B3505F">
        <w:t xml:space="preserve"> ludności</w:t>
      </w:r>
      <w:r w:rsidR="008E1EAF" w:rsidRPr="00B3505F">
        <w:t xml:space="preserve"> </w:t>
      </w:r>
      <w:proofErr w:type="spellStart"/>
      <w:r w:rsidR="008E1EAF" w:rsidRPr="00B3505F">
        <w:t>Pobrodzisk</w:t>
      </w:r>
      <w:proofErr w:type="spellEnd"/>
      <w:r w:rsidR="008E1EAF" w:rsidRPr="00B3505F">
        <w:t xml:space="preserve"> częściej robi zakupy w Poznaniu niż w Gnieźnie.</w:t>
      </w:r>
    </w:p>
    <w:p w:rsidR="008E1EAF" w:rsidRPr="00B3505F" w:rsidRDefault="008E1EAF" w:rsidP="00B3505F">
      <w:pPr>
        <w:spacing w:after="0" w:line="240" w:lineRule="auto"/>
      </w:pPr>
    </w:p>
    <w:p w:rsidR="008E1EAF" w:rsidRPr="00B3505F" w:rsidRDefault="008E1EAF" w:rsidP="00B3505F">
      <w:pPr>
        <w:spacing w:after="0" w:line="240" w:lineRule="auto"/>
      </w:pPr>
      <w:r w:rsidRPr="00B3505F">
        <w:t xml:space="preserve">Przekształcenie wzoru </w:t>
      </w:r>
      <w:proofErr w:type="spellStart"/>
      <w:r w:rsidRPr="00B3505F">
        <w:t>Reilly'ego</w:t>
      </w:r>
      <w:proofErr w:type="spellEnd"/>
      <w:r w:rsidRPr="00B3505F">
        <w:t xml:space="preserve"> umożliwia obliczenie granicy strefy, w której mieszkańcy równie często dokonują zakupów, zarówno w jednym, jak i w drugim ośrodku miejskim.</w:t>
      </w:r>
    </w:p>
    <w:p w:rsidR="00BA122F" w:rsidRPr="00B3505F" w:rsidRDefault="008E1EAF" w:rsidP="00B3505F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Odległość z B do linii granicznej=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Odległość z A do B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Liczba ludności 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Liczba ludności B</m:t>
                      </m:r>
                    </m:den>
                  </m:f>
                </m:e>
              </m:rad>
            </m:den>
          </m:f>
        </m:oMath>
      </m:oMathPara>
    </w:p>
    <w:p w:rsidR="008E1EAF" w:rsidRPr="00B3505F" w:rsidRDefault="008E1EAF" w:rsidP="00B3505F">
      <w:pPr>
        <w:spacing w:after="0" w:line="240" w:lineRule="auto"/>
      </w:pPr>
      <w:r w:rsidRPr="00B3505F">
        <w:t>Po podstawieniu danych do wzoru otrzymujemy:</w:t>
      </w:r>
    </w:p>
    <w:p w:rsidR="008E1EAF" w:rsidRPr="00B3505F" w:rsidRDefault="008E1EAF" w:rsidP="00B3505F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Odległość z Gniezna do linii granicznej=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650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95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=12,5</m:t>
          </m:r>
        </m:oMath>
      </m:oMathPara>
    </w:p>
    <w:p w:rsidR="008E1EAF" w:rsidRPr="00B3505F" w:rsidRDefault="008E1EAF" w:rsidP="00B3505F">
      <w:pPr>
        <w:spacing w:after="0" w:line="240" w:lineRule="auto"/>
      </w:pPr>
      <w:r w:rsidRPr="00B3505F">
        <w:t xml:space="preserve">Z obliczeń wynika, iż strefa ciążenia do Gniezna wynosi 12,5 km, natomiast strefa ciążenia do Poznania </w:t>
      </w:r>
      <w:r w:rsidR="00950ADB" w:rsidRPr="00B3505F">
        <w:t>wynosi 37,5 km. Dysponując takimi obliczeniami, można oszacować liczbę klientów przejeżdżających do każdego z miast. Jeśli mamy informacje o sile nabywczej ludności, to możemy szacować prawdopodobną wielkość obrotów.</w:t>
      </w:r>
    </w:p>
    <w:p w:rsidR="00B3505F" w:rsidRDefault="00B3505F" w:rsidP="00B3505F">
      <w:pPr>
        <w:spacing w:after="0" w:line="240" w:lineRule="auto"/>
        <w:rPr>
          <w:b/>
          <w:u w:val="single"/>
        </w:rPr>
      </w:pPr>
    </w:p>
    <w:p w:rsidR="00950ADB" w:rsidRPr="00B3505F" w:rsidRDefault="00950ADB" w:rsidP="00B3505F">
      <w:pPr>
        <w:spacing w:after="0" w:line="240" w:lineRule="auto"/>
        <w:rPr>
          <w:b/>
        </w:rPr>
      </w:pPr>
      <w:r w:rsidRPr="00B3505F">
        <w:rPr>
          <w:b/>
        </w:rPr>
        <w:t>III. Metody Taksonomiczne</w:t>
      </w:r>
    </w:p>
    <w:p w:rsidR="00950ADB" w:rsidRPr="00B3505F" w:rsidRDefault="00950ADB" w:rsidP="00B3505F">
      <w:pPr>
        <w:spacing w:after="0" w:line="240" w:lineRule="auto"/>
      </w:pPr>
      <w:r w:rsidRPr="00B3505F">
        <w:t>Występowanie różnic w odniesieniu do przestrzennego rozkładu zjawisk rynkowych doprowadziło do opracowania metod pozwalających na wyodrębnienie obszarów podobnych do siebie pod względem badanych cech.</w:t>
      </w:r>
    </w:p>
    <w:p w:rsidR="00950ADB" w:rsidRPr="00B3505F" w:rsidRDefault="00950ADB" w:rsidP="00B3505F">
      <w:pPr>
        <w:spacing w:after="0" w:line="240" w:lineRule="auto"/>
      </w:pPr>
      <w:r w:rsidRPr="00B3505F">
        <w:t>Klasyfikowaniu jednostek przestrzennych służą metody taksonomiczne, które umożliwiają pogrupowanie obszarów w rejony o podobnych warunkach. Dzięki wynikom przeprowadzonych analiz można obniżyć ryzyko podejmowania działań gospodarczych. Powinno się rozważyć, na ile wyodrębnienie jednostek przestrzennych może być pomocne w zwiększaniu skuteczności działań firmy.</w:t>
      </w:r>
    </w:p>
    <w:p w:rsidR="00950ADB" w:rsidRPr="00B3505F" w:rsidRDefault="00950ADB" w:rsidP="00B3505F">
      <w:pPr>
        <w:spacing w:after="0" w:line="240" w:lineRule="auto"/>
      </w:pPr>
      <w:r w:rsidRPr="00B3505F">
        <w:t>W wielu rodzajach działalności gospodarczej można wykorzystać informacje pochodzące z grupowania jednostek przestrzennych. Przykłady:</w:t>
      </w:r>
      <w:r w:rsidRPr="00B3505F">
        <w:br/>
        <w:t>-grupowania rejonów podobnych do siebie pod względem warunków związanych z produkcją rolniczą</w:t>
      </w:r>
      <w:r w:rsidR="0017115E" w:rsidRPr="00B3505F">
        <w:t>,</w:t>
      </w:r>
      <w:r w:rsidR="0017115E" w:rsidRPr="00B3505F">
        <w:br/>
        <w:t>-zróżnicowania w układzie województw, powiatów, gmin i wsi odnoszące się do sprzedaży maszyn i urządzeń rolniczych czy też pasz dla zwierząt.</w:t>
      </w:r>
    </w:p>
    <w:p w:rsidR="0017115E" w:rsidRPr="00B3505F" w:rsidRDefault="0017115E" w:rsidP="00B3505F">
      <w:pPr>
        <w:spacing w:after="0" w:line="240" w:lineRule="auto"/>
      </w:pPr>
      <w:r w:rsidRPr="00B3505F">
        <w:t>Do najbardziej popularnych metod taksonomicznych należą:</w:t>
      </w:r>
      <w:r w:rsidRPr="00B3505F">
        <w:br/>
        <w:t>-metoda różnic przeciętnych (Czekanowskiego),</w:t>
      </w:r>
      <w:r w:rsidRPr="00B3505F">
        <w:br/>
        <w:t>-(metoda niehierarchicznej analizy skupień</w:t>
      </w:r>
    </w:p>
    <w:p w:rsidR="0017115E" w:rsidRDefault="0017115E" w:rsidP="00B3505F">
      <w:pPr>
        <w:spacing w:after="0" w:line="240" w:lineRule="auto"/>
      </w:pPr>
      <w:r w:rsidRPr="00B3505F">
        <w:t>(WIĘCEJ INFORMACJI W KONSPEKCIE!)</w:t>
      </w:r>
    </w:p>
    <w:p w:rsidR="00B3505F" w:rsidRPr="00B3505F" w:rsidRDefault="00B3505F" w:rsidP="00B3505F">
      <w:pPr>
        <w:spacing w:after="0" w:line="240" w:lineRule="auto"/>
      </w:pPr>
    </w:p>
    <w:p w:rsidR="0017115E" w:rsidRPr="00B3505F" w:rsidRDefault="0017115E" w:rsidP="00B3505F">
      <w:pPr>
        <w:spacing w:after="0" w:line="240" w:lineRule="auto"/>
        <w:rPr>
          <w:b/>
        </w:rPr>
      </w:pPr>
      <w:r w:rsidRPr="00B3505F">
        <w:rPr>
          <w:b/>
        </w:rPr>
        <w:t>IV. Współczynniki zróżnicowania i koncentracji</w:t>
      </w:r>
    </w:p>
    <w:p w:rsidR="0017115E" w:rsidRPr="00B3505F" w:rsidRDefault="0017115E" w:rsidP="00B3505F">
      <w:pPr>
        <w:spacing w:after="0" w:line="240" w:lineRule="auto"/>
      </w:pPr>
      <w:r w:rsidRPr="00B3505F">
        <w:t>Z reguły wiele zjawisk rynkowych różnicuje się w przestrzeni, w związku z czym ważne jest badanie stopnia tych różnic. Nie tylko powoduje to wzrost świadomości w odniesieniu do prowadzonej działalności gospodarczej, lecz także ułatwia podejmowanie decyzji rynkowych.</w:t>
      </w:r>
    </w:p>
    <w:p w:rsidR="0017115E" w:rsidRPr="00B3505F" w:rsidRDefault="0017115E" w:rsidP="00B3505F">
      <w:pPr>
        <w:spacing w:after="0" w:line="240" w:lineRule="auto"/>
      </w:pPr>
      <w:r w:rsidRPr="00B3505F">
        <w:t>Analiza przestrzenna może dotyczyć: zróżnicowania, rozmieszczenia, koncentracji.</w:t>
      </w:r>
    </w:p>
    <w:p w:rsidR="0017115E" w:rsidRPr="00B3505F" w:rsidRDefault="0017115E" w:rsidP="00B3505F">
      <w:pPr>
        <w:spacing w:after="0" w:line="240" w:lineRule="auto"/>
      </w:pPr>
      <w:r w:rsidRPr="00B3505F">
        <w:t>W pracach polegających na analizowaniu zjawisk rynkowych w przestrzeni należy wybierać metody najbardziej odpowiednie dla badanego zagadnienia. W tym kontekście poleca się korzystanie ze:</w:t>
      </w:r>
      <w:r w:rsidRPr="00B3505F">
        <w:br/>
        <w:t xml:space="preserve">-współczynnika rozmieszczenia (lokalizacji) </w:t>
      </w:r>
      <w:proofErr w:type="spellStart"/>
      <w:r w:rsidRPr="00B3505F">
        <w:t>Florence'a</w:t>
      </w:r>
      <w:proofErr w:type="spellEnd"/>
      <w:r w:rsidRPr="00B3505F">
        <w:t>, oraz</w:t>
      </w:r>
      <w:r w:rsidRPr="00B3505F">
        <w:br/>
        <w:t>-współczynnika koncentracji Lorenza.</w:t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B3505F" w:rsidRDefault="00B3505F" w:rsidP="00B3505F">
      <w:pPr>
        <w:spacing w:after="0" w:line="240" w:lineRule="auto"/>
        <w:rPr>
          <w:u w:val="single"/>
        </w:rPr>
      </w:pPr>
    </w:p>
    <w:p w:rsidR="0017115E" w:rsidRPr="00B3505F" w:rsidRDefault="0017115E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lastRenderedPageBreak/>
        <w:t xml:space="preserve">1. Współczynnik rozmieszczenia </w:t>
      </w:r>
      <w:proofErr w:type="spellStart"/>
      <w:r w:rsidRPr="00B3505F">
        <w:rPr>
          <w:u w:val="single"/>
        </w:rPr>
        <w:t>Florence'a</w:t>
      </w:r>
      <w:proofErr w:type="spellEnd"/>
    </w:p>
    <w:p w:rsidR="0017115E" w:rsidRPr="00B3505F" w:rsidRDefault="0017115E" w:rsidP="00B3505F">
      <w:pPr>
        <w:spacing w:after="0" w:line="240" w:lineRule="auto"/>
      </w:pPr>
      <w:r w:rsidRPr="00B3505F">
        <w:t xml:space="preserve">Rozmieszczenie zjawisk rynkowych w przestrzeni może być analizowane za pomocą współczynnika </w:t>
      </w:r>
      <w:proofErr w:type="spellStart"/>
      <w:r w:rsidRPr="00B3505F">
        <w:t>Florence'a</w:t>
      </w:r>
      <w:proofErr w:type="spellEnd"/>
      <w:r w:rsidRPr="00B3505F">
        <w:t>. Korzystamy z następującego wzoru:</w:t>
      </w:r>
    </w:p>
    <w:p w:rsidR="0017115E" w:rsidRPr="00B3505F" w:rsidRDefault="00817AB7" w:rsidP="00B3505F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∑(S-U)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dla 0≤F≤1</m:t>
          </m:r>
        </m:oMath>
      </m:oMathPara>
    </w:p>
    <w:p w:rsidR="00817AB7" w:rsidRPr="00B3505F" w:rsidRDefault="00817AB7" w:rsidP="00B3505F">
      <w:pPr>
        <w:spacing w:after="0" w:line="240" w:lineRule="auto"/>
      </w:pPr>
      <w:r w:rsidRPr="00B3505F">
        <w:t>gdzie:</w:t>
      </w:r>
      <w:r w:rsidRPr="00B3505F">
        <w:br/>
      </w:r>
      <w:r w:rsidRPr="00B3505F">
        <w:tab/>
        <w:t xml:space="preserve">F - współczynnik rozmieszczenia </w:t>
      </w:r>
      <w:proofErr w:type="spellStart"/>
      <w:r w:rsidRPr="00B3505F">
        <w:t>Florence'a</w:t>
      </w:r>
      <w:proofErr w:type="spellEnd"/>
      <w:r w:rsidRPr="00B3505F">
        <w:br/>
      </w:r>
      <w:r w:rsidRPr="00B3505F">
        <w:tab/>
        <w:t>S - struktura procentowa pierwszego badanego zjawiska według jednostek przestrzennych</w:t>
      </w:r>
      <w:r w:rsidRPr="00B3505F">
        <w:br/>
      </w:r>
      <w:r w:rsidRPr="00B3505F">
        <w:tab/>
        <w:t>U - struktura procentowa drugiego badanego zjawiska według jednostek przestrzennych</w:t>
      </w:r>
    </w:p>
    <w:p w:rsidR="00817AB7" w:rsidRPr="00B3505F" w:rsidRDefault="00817AB7" w:rsidP="00B3505F">
      <w:pPr>
        <w:spacing w:after="0" w:line="240" w:lineRule="auto"/>
      </w:pPr>
      <w:r w:rsidRPr="00B3505F">
        <w:t xml:space="preserve">Przy obliczaniu współczynnika </w:t>
      </w:r>
      <w:proofErr w:type="spellStart"/>
      <w:r w:rsidRPr="00B3505F">
        <w:t>Florence'a</w:t>
      </w:r>
      <w:proofErr w:type="spellEnd"/>
      <w:r w:rsidRPr="00B3505F">
        <w:t xml:space="preserve"> bierze się pod uwagę tylko sumy różnic dodatnich.</w:t>
      </w:r>
    </w:p>
    <w:p w:rsidR="00817AB7" w:rsidRPr="00B3505F" w:rsidRDefault="00817AB7" w:rsidP="00B3505F">
      <w:pPr>
        <w:spacing w:after="0" w:line="240" w:lineRule="auto"/>
      </w:pPr>
      <w:r w:rsidRPr="00B3505F">
        <w:t xml:space="preserve">Współczynnik </w:t>
      </w:r>
      <w:proofErr w:type="spellStart"/>
      <w:r w:rsidRPr="00B3505F">
        <w:t>Florence'a</w:t>
      </w:r>
      <w:proofErr w:type="spellEnd"/>
      <w:r w:rsidRPr="00B3505F">
        <w:t xml:space="preserve"> informuje o rozmieszczeniu jednego zjawiska rynkowego względem drugiego, na przykład o rozmieszczeniu pubów względem liczby mieszkańców miast, dzielnic czy gmin.</w:t>
      </w:r>
    </w:p>
    <w:p w:rsidR="00926893" w:rsidRPr="00B3505F" w:rsidRDefault="00817AB7" w:rsidP="00B3505F">
      <w:pPr>
        <w:spacing w:after="0" w:line="240" w:lineRule="auto"/>
      </w:pPr>
      <w:r w:rsidRPr="00B3505F">
        <w:t xml:space="preserve">Współczynnik rozmieszczenia </w:t>
      </w:r>
      <w:proofErr w:type="spellStart"/>
      <w:r w:rsidRPr="00B3505F">
        <w:t>Florence'a</w:t>
      </w:r>
      <w:proofErr w:type="spellEnd"/>
      <w:r w:rsidRPr="00B3505F">
        <w:t xml:space="preserve"> przyjmuje wartość z przedziału 0 ≤</w:t>
      </w:r>
      <w:r w:rsidR="0090532D" w:rsidRPr="00B3505F">
        <w:t xml:space="preserve"> </w:t>
      </w:r>
      <w:r w:rsidRPr="00B3505F">
        <w:t xml:space="preserve">F ≤ 1. W sytuacji bardzo podobnego rozmieszczenia zjawisk w przestrzeni wartość </w:t>
      </w:r>
      <w:r w:rsidR="0090532D" w:rsidRPr="00B3505F">
        <w:t>współczynnika</w:t>
      </w:r>
      <w:r w:rsidRPr="00B3505F">
        <w:t xml:space="preserve"> jest bliska zeru, natomiast w przypadku bardzo dużego zróżnicowania </w:t>
      </w:r>
      <w:r w:rsidR="00926893" w:rsidRPr="00B3505F">
        <w:t xml:space="preserve"> </w:t>
      </w:r>
      <w:r w:rsidRPr="00B3505F">
        <w:t xml:space="preserve"> wartość wskaźnika zbliża się do jedności.</w:t>
      </w:r>
    </w:p>
    <w:p w:rsidR="00926893" w:rsidRPr="00B3505F" w:rsidRDefault="00926893" w:rsidP="00B3505F">
      <w:pPr>
        <w:spacing w:after="0" w:line="240" w:lineRule="auto"/>
      </w:pPr>
      <w:r w:rsidRPr="00B3505F">
        <w:t xml:space="preserve">W celu obiektywizowania interpretacji otrzymanych wartości współczynnika </w:t>
      </w:r>
      <w:proofErr w:type="spellStart"/>
      <w:r w:rsidRPr="00B3505F">
        <w:t>Florence'a</w:t>
      </w:r>
      <w:proofErr w:type="spellEnd"/>
      <w:r w:rsidRPr="00B3505F">
        <w:t xml:space="preserve"> zaleca się korzystanie z następującej skali:</w:t>
      </w:r>
    </w:p>
    <w:p w:rsidR="00926893" w:rsidRPr="00B3505F" w:rsidRDefault="00926893" w:rsidP="00B3505F">
      <w:pPr>
        <w:pStyle w:val="Akapitzlist"/>
        <w:numPr>
          <w:ilvl w:val="0"/>
          <w:numId w:val="2"/>
        </w:numPr>
        <w:spacing w:after="0" w:line="240" w:lineRule="auto"/>
      </w:pPr>
      <w:r w:rsidRPr="00B3505F">
        <w:t>F &lt; 0,25</w:t>
      </w:r>
      <w:r w:rsidRPr="00B3505F">
        <w:tab/>
        <w:t>-badane zjawisko charakteryzuje wysoki stopień rozmieszczenia, czyli mała koncentracja (zjawisko nie jest zlokalizowane),</w:t>
      </w:r>
    </w:p>
    <w:p w:rsidR="00C4015D" w:rsidRPr="00B3505F" w:rsidRDefault="00926893" w:rsidP="00B3505F">
      <w:pPr>
        <w:pStyle w:val="Akapitzlist"/>
        <w:numPr>
          <w:ilvl w:val="0"/>
          <w:numId w:val="2"/>
        </w:numPr>
        <w:spacing w:after="0" w:line="240" w:lineRule="auto"/>
      </w:pPr>
      <w:r w:rsidRPr="00B3505F">
        <w:t>0,25 ≤ F ≤0,49</w:t>
      </w:r>
      <w:r w:rsidRPr="00B3505F">
        <w:tab/>
      </w:r>
      <w:r w:rsidR="00C4015D" w:rsidRPr="00B3505F">
        <w:t>-badane zjawisko charakteryzuje średni stopień rozmieszczenia, tzn. średnia koncentracja terytorialna (zjawisko jest w małym stopniu zlokalizowane),</w:t>
      </w:r>
    </w:p>
    <w:p w:rsidR="00C4015D" w:rsidRPr="00B3505F" w:rsidRDefault="00C4015D" w:rsidP="00B3505F">
      <w:pPr>
        <w:pStyle w:val="Akapitzlist"/>
        <w:numPr>
          <w:ilvl w:val="0"/>
          <w:numId w:val="2"/>
        </w:numPr>
        <w:spacing w:after="0" w:line="240" w:lineRule="auto"/>
      </w:pPr>
      <w:r w:rsidRPr="00B3505F">
        <w:t>F  &gt; 50</w:t>
      </w:r>
      <w:r w:rsidRPr="00B3505F">
        <w:tab/>
      </w:r>
      <w:r w:rsidRPr="00B3505F">
        <w:tab/>
        <w:t>-badane zjawisko charakteryzuje niski poziom rozmieszczenia, czyli duża koncentracja przestrzenna (zjawisko wysoce zlokalizowane)</w:t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C4015D" w:rsidRPr="00B3505F" w:rsidRDefault="00C4015D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t xml:space="preserve">2. Współczynnik </w:t>
      </w:r>
      <w:proofErr w:type="spellStart"/>
      <w:r w:rsidRPr="00B3505F">
        <w:rPr>
          <w:u w:val="single"/>
        </w:rPr>
        <w:t>Florence'a</w:t>
      </w:r>
      <w:proofErr w:type="spellEnd"/>
      <w:r w:rsidRPr="00B3505F">
        <w:rPr>
          <w:u w:val="single"/>
        </w:rPr>
        <w:t xml:space="preserve"> - procedura obliczeniowa</w:t>
      </w:r>
    </w:p>
    <w:p w:rsidR="00C4015D" w:rsidRPr="00B3505F" w:rsidRDefault="00C4015D" w:rsidP="00B3505F">
      <w:pPr>
        <w:spacing w:after="0" w:line="240" w:lineRule="auto"/>
      </w:pPr>
      <w:r w:rsidRPr="00B3505F">
        <w:rPr>
          <w:b/>
        </w:rPr>
        <w:t>Przykład</w:t>
      </w:r>
      <w:r w:rsidRPr="00B3505F">
        <w:t>: Analitycy badają aktualny stan zanieczyszczenia środowiska i sporządzający prognozy z nim związane są zainteresowani rozmieszczeniem produkcji odpadów przemysłowych w Polsce.</w:t>
      </w:r>
    </w:p>
    <w:p w:rsidR="00C4015D" w:rsidRPr="00B3505F" w:rsidRDefault="00C4015D" w:rsidP="00B3505F">
      <w:pPr>
        <w:spacing w:after="0" w:line="240" w:lineRule="auto"/>
      </w:pPr>
      <w:r w:rsidRPr="00B3505F">
        <w:t>W tym celu zebrano informacje na temat wielkości produkcji odpadów przemysłowych w poszczególnych województwach. Potrzebne były również dane o wielkości powierzchni każdego województwa (tabela poniżej)</w:t>
      </w:r>
    </w:p>
    <w:p w:rsidR="00C4015D" w:rsidRPr="00B3505F" w:rsidRDefault="00C4015D" w:rsidP="00B3505F">
      <w:pPr>
        <w:spacing w:after="0" w:line="240" w:lineRule="auto"/>
      </w:pPr>
      <w:r w:rsidRPr="00B3505F">
        <w:t xml:space="preserve">Następnie obliczono współczynnik </w:t>
      </w:r>
      <w:proofErr w:type="spellStart"/>
      <w:r w:rsidRPr="00B3505F">
        <w:t>Florence'a</w:t>
      </w:r>
      <w:proofErr w:type="spellEnd"/>
      <w:r w:rsidRPr="00B3505F">
        <w:t>:</w:t>
      </w:r>
    </w:p>
    <w:p w:rsidR="00C4015D" w:rsidRPr="00B3505F" w:rsidRDefault="00C4015D" w:rsidP="00B3505F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57,44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=0,57</m:t>
          </m:r>
        </m:oMath>
      </m:oMathPara>
    </w:p>
    <w:p w:rsidR="00C4015D" w:rsidRPr="00B3505F" w:rsidRDefault="00C4015D" w:rsidP="00B3505F">
      <w:pPr>
        <w:spacing w:after="0" w:line="240" w:lineRule="auto"/>
      </w:pPr>
      <w:r w:rsidRPr="00B3505F">
        <w:t xml:space="preserve">Wartość współczynnika </w:t>
      </w:r>
      <w:proofErr w:type="spellStart"/>
      <w:r w:rsidRPr="00B3505F">
        <w:t>Florence'a</w:t>
      </w:r>
      <w:proofErr w:type="spellEnd"/>
      <w:r w:rsidRPr="00B3505F">
        <w:t xml:space="preserve"> równa 0,57 wskazuje, że badane zjawisko charakteryzuje relatywnie niski stopień rozmieszczenia. Produkcję odpadów na 1km</w:t>
      </w:r>
      <w:r w:rsidRPr="00B3505F">
        <w:rPr>
          <w:vertAlign w:val="superscript"/>
        </w:rPr>
        <w:t xml:space="preserve">2 </w:t>
      </w:r>
      <w:r w:rsidRPr="00B3505F">
        <w:t>cechuje duża koncentracja przestrzenna.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711"/>
        <w:gridCol w:w="1944"/>
        <w:gridCol w:w="1778"/>
        <w:gridCol w:w="1778"/>
        <w:gridCol w:w="1778"/>
      </w:tblGrid>
      <w:tr w:rsidR="00C4015D" w:rsidRPr="00B3505F" w:rsidTr="00352DAC">
        <w:trPr>
          <w:trHeight w:val="669"/>
        </w:trPr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Województwo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Powierzchnia (km</w:t>
            </w:r>
            <w:r w:rsidRPr="00B3505F">
              <w:rPr>
                <w:vertAlign w:val="superscript"/>
              </w:rPr>
              <w:t>2</w:t>
            </w:r>
            <w:r w:rsidRPr="00B3505F">
              <w:t>)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Produkcja odpadów przem. (tys. t)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Odsetek powierzchni S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Odsetek produkcji odpadów przem. U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(S-U)</w:t>
            </w:r>
          </w:p>
        </w:tc>
      </w:tr>
      <w:tr w:rsidR="00C4015D" w:rsidRPr="00B3505F" w:rsidTr="00352DAC">
        <w:trPr>
          <w:trHeight w:val="254"/>
        </w:trPr>
        <w:tc>
          <w:tcPr>
            <w:tcW w:w="1677" w:type="dxa"/>
            <w:tcBorders>
              <w:top w:val="double" w:sz="4" w:space="0" w:color="auto"/>
            </w:tcBorders>
          </w:tcPr>
          <w:p w:rsidR="00612992" w:rsidRPr="00B3505F" w:rsidRDefault="00612992" w:rsidP="00B3505F">
            <w:r w:rsidRPr="00B3505F">
              <w:t>Dolnośląskie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352DAC" w:rsidRPr="00B3505F" w:rsidRDefault="00352DAC" w:rsidP="00B3505F">
            <w:pPr>
              <w:jc w:val="right"/>
            </w:pPr>
            <w:r w:rsidRPr="00B3505F">
              <w:t>19 948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C4015D" w:rsidRPr="00B3505F" w:rsidRDefault="00352DAC" w:rsidP="00B3505F">
            <w:pPr>
              <w:jc w:val="right"/>
            </w:pPr>
            <w:r w:rsidRPr="00B3505F">
              <w:t>32 530,1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6,38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25,77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-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Kujawsko-pom.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17 970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3 054,6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5,75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2,42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3,33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Lubelskie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25 114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4 130,4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8,03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3,27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4,76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Lubuskie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13 984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902,4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4,47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0,71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3,76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Łódzkie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18 219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5 171,6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5,83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4,10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1,73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Małopolskie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15 144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10 086,5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4,84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7,99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-</w:t>
            </w:r>
          </w:p>
        </w:tc>
      </w:tr>
      <w:tr w:rsidR="00C4015D" w:rsidRPr="00B3505F" w:rsidTr="00352DAC">
        <w:trPr>
          <w:trHeight w:val="271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Mazowieckie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35 598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3 692,3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11,38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2,92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8,46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Opolskie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9 412</w:t>
            </w:r>
          </w:p>
        </w:tc>
        <w:tc>
          <w:tcPr>
            <w:tcW w:w="1944" w:type="dxa"/>
          </w:tcPr>
          <w:p w:rsidR="00C4015D" w:rsidRPr="00B3505F" w:rsidRDefault="00352DAC" w:rsidP="00B3505F">
            <w:pPr>
              <w:jc w:val="right"/>
            </w:pPr>
            <w:r w:rsidRPr="00B3505F">
              <w:t>2 139,0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3,01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1,69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1,32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Podkarpackie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17 926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1 323,7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5,73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1,05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4,68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Podlaskie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20 180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699,1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6,45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0,55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5,90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Pomorskie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18 293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2 406,4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5,85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1,91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3,94</w:t>
            </w:r>
          </w:p>
        </w:tc>
      </w:tr>
      <w:tr w:rsidR="00C4015D" w:rsidRPr="00B3505F" w:rsidTr="00352DAC">
        <w:trPr>
          <w:trHeight w:val="271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Śląskie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 xml:space="preserve">12 294 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49 038,3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3,93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38,84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-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Świętokrzyskie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11 672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1 704,8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3,73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1,35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2,38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Warmińsko-m.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24 203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399,2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7,74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0,32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7,42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</w:tcPr>
          <w:p w:rsidR="00C4015D" w:rsidRPr="00B3505F" w:rsidRDefault="00612992" w:rsidP="00B3505F">
            <w:r w:rsidRPr="00B3505F">
              <w:t>Wielkopolskie</w:t>
            </w:r>
          </w:p>
        </w:tc>
        <w:tc>
          <w:tcPr>
            <w:tcW w:w="1711" w:type="dxa"/>
          </w:tcPr>
          <w:p w:rsidR="00C4015D" w:rsidRPr="00B3505F" w:rsidRDefault="00352DAC" w:rsidP="00B3505F">
            <w:pPr>
              <w:jc w:val="right"/>
            </w:pPr>
            <w:r w:rsidRPr="00B3505F">
              <w:t>29 826</w:t>
            </w:r>
          </w:p>
        </w:tc>
        <w:tc>
          <w:tcPr>
            <w:tcW w:w="1944" w:type="dxa"/>
          </w:tcPr>
          <w:p w:rsidR="00C4015D" w:rsidRPr="00B3505F" w:rsidRDefault="00ED6F84" w:rsidP="00B3505F">
            <w:pPr>
              <w:jc w:val="right"/>
            </w:pPr>
            <w:r w:rsidRPr="00B3505F">
              <w:t>3 608,0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9,54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2,86</w:t>
            </w:r>
          </w:p>
        </w:tc>
        <w:tc>
          <w:tcPr>
            <w:tcW w:w="1778" w:type="dxa"/>
          </w:tcPr>
          <w:p w:rsidR="00C4015D" w:rsidRPr="00B3505F" w:rsidRDefault="00ED6F84" w:rsidP="00B3505F">
            <w:pPr>
              <w:jc w:val="right"/>
            </w:pPr>
            <w:r w:rsidRPr="00B3505F">
              <w:t>6,68</w:t>
            </w:r>
          </w:p>
        </w:tc>
      </w:tr>
      <w:tr w:rsidR="00C4015D" w:rsidRPr="00B3505F" w:rsidTr="00352DAC">
        <w:trPr>
          <w:trHeight w:val="287"/>
        </w:trPr>
        <w:tc>
          <w:tcPr>
            <w:tcW w:w="1677" w:type="dxa"/>
            <w:tcBorders>
              <w:bottom w:val="double" w:sz="4" w:space="0" w:color="auto"/>
            </w:tcBorders>
          </w:tcPr>
          <w:p w:rsidR="00C4015D" w:rsidRPr="00B3505F" w:rsidRDefault="00612992" w:rsidP="00B3505F">
            <w:proofErr w:type="spellStart"/>
            <w:r w:rsidRPr="00B3505F">
              <w:t>Zachodniopom</w:t>
            </w:r>
            <w:proofErr w:type="spellEnd"/>
            <w:r w:rsidRPr="00B3505F">
              <w:t>.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C4015D" w:rsidRPr="00B3505F" w:rsidRDefault="00352DAC" w:rsidP="00B3505F">
            <w:pPr>
              <w:jc w:val="right"/>
            </w:pPr>
            <w:r w:rsidRPr="00B3505F">
              <w:t>22 902</w:t>
            </w:r>
          </w:p>
        </w:tc>
        <w:tc>
          <w:tcPr>
            <w:tcW w:w="1944" w:type="dxa"/>
            <w:tcBorders>
              <w:bottom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5 368,3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7,32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4,25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3,07</w:t>
            </w:r>
          </w:p>
        </w:tc>
      </w:tr>
      <w:tr w:rsidR="00C4015D" w:rsidRPr="00B3505F" w:rsidTr="00352DAC">
        <w:trPr>
          <w:trHeight w:val="271"/>
        </w:trPr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612992" w:rsidP="00B3505F">
            <w:r w:rsidRPr="00B3505F">
              <w:t>Ogółem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352DAC" w:rsidP="00B3505F">
            <w:pPr>
              <w:jc w:val="right"/>
            </w:pPr>
            <w:r w:rsidRPr="00B3505F">
              <w:t>312 685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126 254,7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100,00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15D" w:rsidRPr="00B3505F" w:rsidRDefault="00ED6F84" w:rsidP="00B3505F">
            <w:pPr>
              <w:jc w:val="right"/>
            </w:pPr>
            <w:r w:rsidRPr="00B3505F">
              <w:t>100,00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BEC" w:rsidRPr="00B3505F" w:rsidRDefault="00002BEC" w:rsidP="00B3505F">
            <w:pPr>
              <w:jc w:val="right"/>
            </w:pPr>
            <w:r w:rsidRPr="00B3505F">
              <w:t>57,44</w:t>
            </w:r>
          </w:p>
        </w:tc>
      </w:tr>
    </w:tbl>
    <w:p w:rsidR="00B3505F" w:rsidRDefault="00926893" w:rsidP="00B3505F">
      <w:pPr>
        <w:spacing w:after="0" w:line="240" w:lineRule="auto"/>
        <w:rPr>
          <w:u w:val="single"/>
        </w:rPr>
      </w:pPr>
      <w:r w:rsidRPr="00B3505F">
        <w:br/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90532D" w:rsidRPr="00B3505F" w:rsidRDefault="00002BEC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lastRenderedPageBreak/>
        <w:t>3. Współczynnik koncentracji Lorenza</w:t>
      </w:r>
    </w:p>
    <w:p w:rsidR="00002BEC" w:rsidRPr="00B3505F" w:rsidRDefault="00002BEC" w:rsidP="00B3505F">
      <w:pPr>
        <w:spacing w:after="0" w:line="240" w:lineRule="auto"/>
      </w:pPr>
      <w:r w:rsidRPr="00B3505F">
        <w:t>Rozkład dwóch zmiennych w przekroju przestrzennym może być badany m. in. za pomocą współczynnika koncentracji Lorenza.</w:t>
      </w:r>
    </w:p>
    <w:p w:rsidR="00002BEC" w:rsidRPr="00B3505F" w:rsidRDefault="00002BEC" w:rsidP="00B3505F">
      <w:pPr>
        <w:spacing w:after="0" w:line="240" w:lineRule="auto"/>
      </w:pPr>
      <w:r w:rsidRPr="00B3505F">
        <w:t>Rys. Rozkład zmiennych w ujęciu graficznym kwadratu Lorenza</w:t>
      </w:r>
    </w:p>
    <w:p w:rsidR="00002BEC" w:rsidRPr="00B3505F" w:rsidRDefault="00002BEC" w:rsidP="00B3505F">
      <w:pPr>
        <w:spacing w:after="0" w:line="240" w:lineRule="auto"/>
      </w:pPr>
      <w:r w:rsidRPr="00B3505F">
        <w:t xml:space="preserve">(rysunek żagielka znanego Wam z </w:t>
      </w:r>
      <w:proofErr w:type="spellStart"/>
      <w:r w:rsidRPr="00B3505F">
        <w:t>EGŻtu</w:t>
      </w:r>
      <w:proofErr w:type="spellEnd"/>
      <w:r w:rsidRPr="00B3505F">
        <w:t>)</w:t>
      </w:r>
    </w:p>
    <w:p w:rsidR="00002BEC" w:rsidRPr="00B3505F" w:rsidRDefault="002B2CEF" w:rsidP="00B3505F">
      <w:pPr>
        <w:spacing w:after="0" w:line="240" w:lineRule="auto"/>
      </w:pPr>
      <w:r w:rsidRPr="00B3505F">
        <w:t xml:space="preserve">W pokazanym na rysunku kwadracie linia równomiernego podziału mówi o tym, że badane zjawiska nie wykazują żadnej koncentracji przestrzennej, czyli są równomiernie rozłożone w badanych regionach. Im rozkład rzeczywisty jest bardziej zbliżony do głównej przekątnej (linii równomiernego </w:t>
      </w:r>
      <w:r w:rsidR="006B101F" w:rsidRPr="00B3505F">
        <w:t>podziału), tym koncentracja jest mniejsza, natomiast jest ona tym większa, im rozkład rzeczywisty  jest bardziej oddalony od tej przekątnej.</w:t>
      </w:r>
    </w:p>
    <w:p w:rsidR="006B101F" w:rsidRPr="00B3505F" w:rsidRDefault="006B101F" w:rsidP="00B3505F">
      <w:pPr>
        <w:spacing w:after="0" w:line="240" w:lineRule="auto"/>
      </w:pPr>
      <w:r w:rsidRPr="00B3505F">
        <w:t>Wartość liczbową współczynnika koncentracji Lorenza można ustalić na podstawie wzoru</w:t>
      </w:r>
    </w:p>
    <w:p w:rsidR="006B101F" w:rsidRPr="00B3505F" w:rsidRDefault="006B101F" w:rsidP="00B3505F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5 000- 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*n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5 000</m:t>
              </m:r>
            </m:den>
          </m:f>
        </m:oMath>
      </m:oMathPara>
    </w:p>
    <w:p w:rsidR="00865D0F" w:rsidRPr="00B3505F" w:rsidRDefault="00865D0F" w:rsidP="00B3505F">
      <w:pPr>
        <w:spacing w:after="0" w:line="240" w:lineRule="auto"/>
      </w:pPr>
      <w:r w:rsidRPr="00B3505F">
        <w:t>gdzie:</w:t>
      </w:r>
    </w:p>
    <w:p w:rsidR="001D4BFC" w:rsidRPr="00B3505F" w:rsidRDefault="00865D0F" w:rsidP="00B3505F">
      <w:pPr>
        <w:spacing w:after="0" w:line="240" w:lineRule="auto"/>
      </w:pPr>
      <w:r w:rsidRPr="00B3505F">
        <w:tab/>
        <w:t>k - współczynnik koncentracji Lorenza</w:t>
      </w:r>
      <w:r w:rsidR="001D4BFC" w:rsidRPr="00B3505F">
        <w:t>,</w:t>
      </w:r>
      <w:r w:rsidRPr="00B3505F">
        <w:br/>
      </w:r>
      <w:r w:rsidRPr="00B3505F">
        <w:tab/>
        <w:t>x</w:t>
      </w:r>
      <w:r w:rsidRPr="00B3505F">
        <w:rPr>
          <w:vertAlign w:val="subscript"/>
        </w:rPr>
        <w:t xml:space="preserve">i </w:t>
      </w:r>
      <w:r w:rsidRPr="00B3505F">
        <w:t>- skumulowane odsetki badanego zjawiska dla i-tej jednostki przestrzennej</w:t>
      </w:r>
      <w:r w:rsidR="001D4BFC" w:rsidRPr="00B3505F">
        <w:t>,</w:t>
      </w:r>
      <w:r w:rsidRPr="00B3505F">
        <w:br/>
      </w:r>
      <w:r w:rsidRPr="00B3505F">
        <w:tab/>
        <w:t>x</w:t>
      </w:r>
      <w:r w:rsidRPr="00B3505F">
        <w:rPr>
          <w:vertAlign w:val="subscript"/>
        </w:rPr>
        <w:t>i-1</w:t>
      </w:r>
      <w:r w:rsidRPr="00B3505F">
        <w:t xml:space="preserve"> - skumulowane odsetki badanego zjawiska dla i-1 jednostki przestrzennej</w:t>
      </w:r>
      <w:r w:rsidR="001D4BFC" w:rsidRPr="00B3505F">
        <w:t>,</w:t>
      </w:r>
      <w:r w:rsidRPr="00B3505F">
        <w:br/>
      </w:r>
      <w:r w:rsidRPr="00B3505F">
        <w:tab/>
        <w:t>n - odsetek zjawiska</w:t>
      </w:r>
      <w:r w:rsidR="00B81B2B" w:rsidRPr="00B3505F">
        <w:t xml:space="preserve">, względem którego </w:t>
      </w:r>
      <w:r w:rsidR="001D4BFC" w:rsidRPr="00B3505F">
        <w:t>jest badana koncentracja w i-tej jednostce przestrzennej.</w:t>
      </w:r>
    </w:p>
    <w:p w:rsidR="00E15A00" w:rsidRPr="00B3505F" w:rsidRDefault="001D4BFC" w:rsidP="00B3505F">
      <w:pPr>
        <w:spacing w:after="0" w:line="240" w:lineRule="auto"/>
      </w:pPr>
      <w:r w:rsidRPr="00B3505F">
        <w:t>Współczynnik koncentracji Lorenza</w:t>
      </w:r>
      <w:r w:rsidR="00E15A00" w:rsidRPr="00B3505F">
        <w:t xml:space="preserve"> jest miarą niemianowaną i zawiera się w przedziale 0 ≤ k ≤ 1. W sytuacji, gdy k=0, zjawiska są rozłożone równomiernie, natomiast k=1 oznacza koncentrację zupełną. Współczynnik koncentracji Lorenza może być liczony tylko wówczas, gdy szereg jest monotoniczny, tzn. rosnący lub malejący. Przed przystąpieniem do obliczeń należy uporządkować szereg przestrzenny, a następnie obliczyć skumulowane odsetki wartości obydwu badanych zmiennych. Przed obliczeniem szeregów skumulowanych należy obliczyć wskaźniki struktury. Tak przygotowane szeregi można zaprezentować graficznie, a także wykorzystać do obliczenia współczynnika koncentracji Lorenza.</w:t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E15A00" w:rsidRDefault="00E15A00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t>4. Współczynnik koncentracji Lorenza- procedura obliczeniowa.</w:t>
      </w:r>
    </w:p>
    <w:p w:rsidR="00B3505F" w:rsidRPr="00B3505F" w:rsidRDefault="00B3505F" w:rsidP="00B3505F">
      <w:pPr>
        <w:spacing w:after="0" w:line="240" w:lineRule="auto"/>
        <w:rPr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42"/>
        <w:gridCol w:w="1412"/>
        <w:gridCol w:w="1018"/>
        <w:gridCol w:w="1014"/>
        <w:gridCol w:w="1013"/>
        <w:gridCol w:w="1014"/>
        <w:gridCol w:w="1059"/>
        <w:gridCol w:w="1059"/>
      </w:tblGrid>
      <w:tr w:rsidR="000B35C3" w:rsidRPr="00B3505F" w:rsidTr="000B35C3">
        <w:trPr>
          <w:trHeight w:val="540"/>
        </w:trPr>
        <w:tc>
          <w:tcPr>
            <w:tcW w:w="959" w:type="dxa"/>
            <w:vMerge w:val="restart"/>
          </w:tcPr>
          <w:p w:rsidR="00E15A00" w:rsidRPr="00B3505F" w:rsidRDefault="00E15A00" w:rsidP="00B3505F">
            <w:r w:rsidRPr="00B3505F">
              <w:t>Woj.</w:t>
            </w:r>
          </w:p>
        </w:tc>
        <w:tc>
          <w:tcPr>
            <w:tcW w:w="992" w:type="dxa"/>
            <w:vMerge w:val="restart"/>
          </w:tcPr>
          <w:p w:rsidR="00E15A00" w:rsidRPr="00B3505F" w:rsidRDefault="00E15A00" w:rsidP="00B3505F">
            <w:r w:rsidRPr="00B3505F">
              <w:t>Ludność (tys.)</w:t>
            </w:r>
          </w:p>
        </w:tc>
        <w:tc>
          <w:tcPr>
            <w:tcW w:w="1142" w:type="dxa"/>
            <w:vMerge w:val="restart"/>
          </w:tcPr>
          <w:p w:rsidR="00E15A00" w:rsidRPr="00B3505F" w:rsidRDefault="00E15A00" w:rsidP="00B3505F">
            <w:r w:rsidRPr="00B3505F">
              <w:t>Sklepy</w:t>
            </w:r>
          </w:p>
        </w:tc>
        <w:tc>
          <w:tcPr>
            <w:tcW w:w="1412" w:type="dxa"/>
            <w:vMerge w:val="restart"/>
          </w:tcPr>
          <w:p w:rsidR="00E15A00" w:rsidRPr="00B3505F" w:rsidRDefault="00E15A00" w:rsidP="00B3505F">
            <w:r w:rsidRPr="00B3505F">
              <w:t>Liczba sklepów na 1000 mieszkańców</w:t>
            </w:r>
          </w:p>
        </w:tc>
        <w:tc>
          <w:tcPr>
            <w:tcW w:w="2032" w:type="dxa"/>
            <w:gridSpan w:val="2"/>
          </w:tcPr>
          <w:p w:rsidR="00E15A00" w:rsidRPr="00B3505F" w:rsidRDefault="00E15A00" w:rsidP="00B3505F">
            <w:r w:rsidRPr="00B3505F">
              <w:t>Odsetek</w:t>
            </w:r>
          </w:p>
          <w:p w:rsidR="00E15A00" w:rsidRPr="00B3505F" w:rsidRDefault="00E15A00" w:rsidP="00B3505F"/>
        </w:tc>
        <w:tc>
          <w:tcPr>
            <w:tcW w:w="2027" w:type="dxa"/>
            <w:gridSpan w:val="2"/>
          </w:tcPr>
          <w:p w:rsidR="00E15A00" w:rsidRPr="00B3505F" w:rsidRDefault="00E15A00" w:rsidP="00B3505F">
            <w:r w:rsidRPr="00B3505F">
              <w:t>Skumulowany odsetek</w:t>
            </w:r>
          </w:p>
        </w:tc>
        <w:tc>
          <w:tcPr>
            <w:tcW w:w="1059" w:type="dxa"/>
            <w:vMerge w:val="restart"/>
          </w:tcPr>
          <w:p w:rsidR="00E15A00" w:rsidRPr="00B3505F" w:rsidRDefault="00B3505F" w:rsidP="00B3505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59" w:type="dxa"/>
            <w:vMerge w:val="restart"/>
          </w:tcPr>
          <w:p w:rsidR="00E15A00" w:rsidRPr="00B3505F" w:rsidRDefault="00B3505F" w:rsidP="00B3505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*n</m:t>
                </m:r>
              </m:oMath>
            </m:oMathPara>
          </w:p>
        </w:tc>
      </w:tr>
      <w:tr w:rsidR="000B35C3" w:rsidRPr="00B3505F" w:rsidTr="000B35C3">
        <w:trPr>
          <w:trHeight w:val="540"/>
        </w:trPr>
        <w:tc>
          <w:tcPr>
            <w:tcW w:w="959" w:type="dxa"/>
            <w:vMerge/>
          </w:tcPr>
          <w:p w:rsidR="00E15A00" w:rsidRPr="00B3505F" w:rsidRDefault="00E15A00" w:rsidP="00B3505F"/>
        </w:tc>
        <w:tc>
          <w:tcPr>
            <w:tcW w:w="992" w:type="dxa"/>
            <w:vMerge/>
          </w:tcPr>
          <w:p w:rsidR="00E15A00" w:rsidRPr="00B3505F" w:rsidRDefault="00E15A00" w:rsidP="00B3505F"/>
        </w:tc>
        <w:tc>
          <w:tcPr>
            <w:tcW w:w="1142" w:type="dxa"/>
            <w:vMerge/>
          </w:tcPr>
          <w:p w:rsidR="00E15A00" w:rsidRPr="00B3505F" w:rsidRDefault="00E15A00" w:rsidP="00B3505F"/>
        </w:tc>
        <w:tc>
          <w:tcPr>
            <w:tcW w:w="1412" w:type="dxa"/>
            <w:vMerge/>
          </w:tcPr>
          <w:p w:rsidR="00E15A00" w:rsidRPr="00B3505F" w:rsidRDefault="00E15A00" w:rsidP="00B3505F"/>
        </w:tc>
        <w:tc>
          <w:tcPr>
            <w:tcW w:w="1018" w:type="dxa"/>
          </w:tcPr>
          <w:p w:rsidR="00E15A00" w:rsidRPr="00B3505F" w:rsidRDefault="00E15A00" w:rsidP="00B3505F">
            <w:r w:rsidRPr="00B3505F">
              <w:t>Ludności (n)</w:t>
            </w:r>
          </w:p>
        </w:tc>
        <w:tc>
          <w:tcPr>
            <w:tcW w:w="1014" w:type="dxa"/>
          </w:tcPr>
          <w:p w:rsidR="00E15A00" w:rsidRPr="00B3505F" w:rsidRDefault="00E15A00" w:rsidP="00B3505F">
            <w:r w:rsidRPr="00B3505F">
              <w:t>Sklepów</w:t>
            </w:r>
          </w:p>
        </w:tc>
        <w:tc>
          <w:tcPr>
            <w:tcW w:w="1013" w:type="dxa"/>
          </w:tcPr>
          <w:p w:rsidR="00E15A00" w:rsidRPr="00B3505F" w:rsidRDefault="000B35C3" w:rsidP="00B3505F">
            <w:r w:rsidRPr="00B3505F">
              <w:t>ludności</w:t>
            </w:r>
          </w:p>
        </w:tc>
        <w:tc>
          <w:tcPr>
            <w:tcW w:w="1014" w:type="dxa"/>
          </w:tcPr>
          <w:p w:rsidR="00E15A00" w:rsidRPr="00B3505F" w:rsidRDefault="000B35C3" w:rsidP="00B3505F">
            <w:r w:rsidRPr="00B3505F">
              <w:t>Sklepów (x)</w:t>
            </w:r>
          </w:p>
        </w:tc>
        <w:tc>
          <w:tcPr>
            <w:tcW w:w="1059" w:type="dxa"/>
            <w:vMerge/>
          </w:tcPr>
          <w:p w:rsidR="00E15A00" w:rsidRPr="00B3505F" w:rsidRDefault="00E15A00" w:rsidP="00B3505F"/>
        </w:tc>
        <w:tc>
          <w:tcPr>
            <w:tcW w:w="1059" w:type="dxa"/>
            <w:vMerge/>
          </w:tcPr>
          <w:p w:rsidR="00E15A00" w:rsidRPr="00B3505F" w:rsidRDefault="00E15A00" w:rsidP="00B3505F"/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r w:rsidRPr="00B3505F">
              <w:t>Podlas.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1 221,1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11 945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9,78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3,16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2,77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3,16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2,77</w:t>
            </w:r>
          </w:p>
        </w:tc>
        <w:tc>
          <w:tcPr>
            <w:tcW w:w="1059" w:type="dxa"/>
          </w:tcPr>
          <w:p w:rsidR="00E15A00" w:rsidRPr="00B3505F" w:rsidRDefault="007A2F82" w:rsidP="00B3505F">
            <w:pPr>
              <w:jc w:val="right"/>
            </w:pPr>
            <w:r w:rsidRPr="00B3505F">
              <w:t>1,38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4,4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Opolsk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1 084,7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10 673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9,84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2,81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2,47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5,97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5,24</w:t>
            </w:r>
          </w:p>
        </w:tc>
        <w:tc>
          <w:tcPr>
            <w:tcW w:w="1059" w:type="dxa"/>
          </w:tcPr>
          <w:p w:rsidR="00E15A00" w:rsidRPr="00B3505F" w:rsidRDefault="007A2F82" w:rsidP="00B3505F">
            <w:pPr>
              <w:jc w:val="right"/>
            </w:pPr>
            <w:r w:rsidRPr="00B3505F">
              <w:t>4,00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11,2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Lubels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2 232,1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23 088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10,34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5,78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5,34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11,74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10,58</w:t>
            </w:r>
          </w:p>
        </w:tc>
        <w:tc>
          <w:tcPr>
            <w:tcW w:w="1059" w:type="dxa"/>
          </w:tcPr>
          <w:p w:rsidR="00E15A00" w:rsidRPr="00B3505F" w:rsidRDefault="007A2F82" w:rsidP="00B3505F">
            <w:pPr>
              <w:jc w:val="right"/>
            </w:pPr>
            <w:r w:rsidRPr="00B3505F">
              <w:t>7,91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45,7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Podkar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2 128,6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22 370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10,51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5,51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5,18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17,25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15,76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13,17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72,5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Małop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3 233,8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34 419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10,64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8,37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7,97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25,62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23,73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19,74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165,2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r w:rsidRPr="00B3505F">
              <w:t>Śląskie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4 847,6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52 369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10,80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12,54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12,12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38,16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35,85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29,79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373,7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r w:rsidRPr="00B3505F">
              <w:t>Łódzkie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2 643,4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28 818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10,90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6,84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6,67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45,00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42,52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39,18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268,0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Świętok</w:t>
            </w:r>
            <w:proofErr w:type="spellEnd"/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1 322,9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14 581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11,02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3,42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3,38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48,43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45,90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44,21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151,3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Dolnośl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2 972,7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32 987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11,10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7,69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7,64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56,12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53,53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49,71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382,4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Pomors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2 198,3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24 727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11,25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5,69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5,72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61,81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59,26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56,39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320,8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Lubusk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1 024,0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11 650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11,38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2,65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2,70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64,46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61,95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60,60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160,6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r w:rsidRPr="00B3505F">
              <w:t>War.-m.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1 468,3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16 776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11,43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3,80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3,88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68,26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65,84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63,89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242,8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Wielkop</w:t>
            </w:r>
            <w:proofErr w:type="spellEnd"/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3 360,9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38 882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11,57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8,70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9,00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76,95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74,84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70,34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611,7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Mazow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5 072,3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60 736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11,97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13,13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14,06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90,08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88,90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81,87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1 074,5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Kuja</w:t>
            </w:r>
            <w:proofErr w:type="spellEnd"/>
            <w:r w:rsidRPr="00B3505F">
              <w:t>.-p.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2 099,7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25 983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12,37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5,43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6,01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95,51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94,91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91,90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499,3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0B35C3" w:rsidP="00B3505F">
            <w:proofErr w:type="spellStart"/>
            <w:r w:rsidRPr="00B3505F">
              <w:t>Zach.p</w:t>
            </w:r>
            <w:proofErr w:type="spellEnd"/>
            <w:r w:rsidRPr="00B3505F">
              <w:t>.</w:t>
            </w:r>
          </w:p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1 733,8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21 987</w:t>
            </w:r>
          </w:p>
        </w:tc>
        <w:tc>
          <w:tcPr>
            <w:tcW w:w="1412" w:type="dxa"/>
          </w:tcPr>
          <w:p w:rsidR="00E15A00" w:rsidRPr="00B3505F" w:rsidRDefault="000B35C3" w:rsidP="00B3505F">
            <w:pPr>
              <w:jc w:val="right"/>
            </w:pPr>
            <w:r w:rsidRPr="00B3505F">
              <w:t>12,68</w:t>
            </w:r>
          </w:p>
        </w:tc>
        <w:tc>
          <w:tcPr>
            <w:tcW w:w="1018" w:type="dxa"/>
          </w:tcPr>
          <w:p w:rsidR="00E15A00" w:rsidRPr="00B3505F" w:rsidRDefault="007A2F82" w:rsidP="00B3505F">
            <w:pPr>
              <w:jc w:val="right"/>
            </w:pPr>
            <w:r w:rsidRPr="00B3505F">
              <w:t>4,49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5,09</w:t>
            </w:r>
          </w:p>
        </w:tc>
        <w:tc>
          <w:tcPr>
            <w:tcW w:w="1013" w:type="dxa"/>
          </w:tcPr>
          <w:p w:rsidR="00E15A00" w:rsidRPr="00B3505F" w:rsidRDefault="007A2F82" w:rsidP="00B3505F">
            <w:pPr>
              <w:jc w:val="right"/>
            </w:pPr>
            <w:r w:rsidRPr="00B3505F">
              <w:t>100,00</w:t>
            </w:r>
          </w:p>
        </w:tc>
        <w:tc>
          <w:tcPr>
            <w:tcW w:w="1014" w:type="dxa"/>
          </w:tcPr>
          <w:p w:rsidR="00E15A00" w:rsidRPr="00B3505F" w:rsidRDefault="007A2F82" w:rsidP="00B3505F">
            <w:pPr>
              <w:jc w:val="right"/>
            </w:pPr>
            <w:r w:rsidRPr="00B3505F">
              <w:t>100,00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97,46</w:t>
            </w: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437,2</w:t>
            </w:r>
          </w:p>
        </w:tc>
      </w:tr>
      <w:tr w:rsidR="000B35C3" w:rsidRPr="00B3505F" w:rsidTr="000B35C3">
        <w:tc>
          <w:tcPr>
            <w:tcW w:w="959" w:type="dxa"/>
          </w:tcPr>
          <w:p w:rsidR="00E15A00" w:rsidRPr="00B3505F" w:rsidRDefault="00E15A00" w:rsidP="00B3505F"/>
        </w:tc>
        <w:tc>
          <w:tcPr>
            <w:tcW w:w="992" w:type="dxa"/>
          </w:tcPr>
          <w:p w:rsidR="00E15A00" w:rsidRPr="00B3505F" w:rsidRDefault="000B35C3" w:rsidP="00B3505F">
            <w:pPr>
              <w:jc w:val="right"/>
            </w:pPr>
            <w:r w:rsidRPr="00B3505F">
              <w:t>38 644,2</w:t>
            </w:r>
          </w:p>
        </w:tc>
        <w:tc>
          <w:tcPr>
            <w:tcW w:w="1142" w:type="dxa"/>
          </w:tcPr>
          <w:p w:rsidR="00E15A00" w:rsidRPr="00B3505F" w:rsidRDefault="000B35C3" w:rsidP="00B3505F">
            <w:pPr>
              <w:jc w:val="right"/>
            </w:pPr>
            <w:r w:rsidRPr="00B3505F">
              <w:t>431 991</w:t>
            </w:r>
          </w:p>
        </w:tc>
        <w:tc>
          <w:tcPr>
            <w:tcW w:w="1412" w:type="dxa"/>
          </w:tcPr>
          <w:p w:rsidR="00E15A00" w:rsidRPr="00B3505F" w:rsidRDefault="00E15A00" w:rsidP="00B3505F">
            <w:pPr>
              <w:jc w:val="right"/>
            </w:pPr>
          </w:p>
        </w:tc>
        <w:tc>
          <w:tcPr>
            <w:tcW w:w="1018" w:type="dxa"/>
          </w:tcPr>
          <w:p w:rsidR="00E15A00" w:rsidRPr="00B3505F" w:rsidRDefault="00E15A00" w:rsidP="00B3505F">
            <w:pPr>
              <w:jc w:val="right"/>
            </w:pPr>
          </w:p>
        </w:tc>
        <w:tc>
          <w:tcPr>
            <w:tcW w:w="1014" w:type="dxa"/>
          </w:tcPr>
          <w:p w:rsidR="00E15A00" w:rsidRPr="00B3505F" w:rsidRDefault="00E15A00" w:rsidP="00B3505F">
            <w:pPr>
              <w:jc w:val="right"/>
            </w:pPr>
          </w:p>
        </w:tc>
        <w:tc>
          <w:tcPr>
            <w:tcW w:w="1013" w:type="dxa"/>
          </w:tcPr>
          <w:p w:rsidR="00E15A00" w:rsidRPr="00B3505F" w:rsidRDefault="00E15A00" w:rsidP="00B3505F">
            <w:pPr>
              <w:jc w:val="right"/>
            </w:pPr>
          </w:p>
        </w:tc>
        <w:tc>
          <w:tcPr>
            <w:tcW w:w="1014" w:type="dxa"/>
          </w:tcPr>
          <w:p w:rsidR="00E15A00" w:rsidRPr="00B3505F" w:rsidRDefault="00E15A00" w:rsidP="00B3505F">
            <w:pPr>
              <w:jc w:val="right"/>
            </w:pPr>
          </w:p>
        </w:tc>
        <w:tc>
          <w:tcPr>
            <w:tcW w:w="1059" w:type="dxa"/>
          </w:tcPr>
          <w:p w:rsidR="00E15A00" w:rsidRPr="00B3505F" w:rsidRDefault="00E15A00" w:rsidP="00B3505F">
            <w:pPr>
              <w:jc w:val="right"/>
            </w:pPr>
          </w:p>
        </w:tc>
        <w:tc>
          <w:tcPr>
            <w:tcW w:w="1059" w:type="dxa"/>
          </w:tcPr>
          <w:p w:rsidR="00E15A00" w:rsidRPr="00B3505F" w:rsidRDefault="00893867" w:rsidP="00B3505F">
            <w:pPr>
              <w:jc w:val="right"/>
            </w:pPr>
            <w:r w:rsidRPr="00B3505F">
              <w:t>4 821,5</w:t>
            </w:r>
          </w:p>
        </w:tc>
      </w:tr>
    </w:tbl>
    <w:p w:rsidR="00893867" w:rsidRPr="00B3505F" w:rsidRDefault="00865D0F" w:rsidP="00B3505F">
      <w:pPr>
        <w:spacing w:after="0" w:line="240" w:lineRule="auto"/>
      </w:pPr>
      <w:r w:rsidRPr="00B3505F">
        <w:rPr>
          <w:b/>
        </w:rPr>
        <w:br/>
      </w:r>
      <w:r w:rsidR="00893867" w:rsidRPr="00B3505F">
        <w:rPr>
          <w:b/>
        </w:rPr>
        <w:t>Przykład</w:t>
      </w:r>
      <w:r w:rsidR="00893867" w:rsidRPr="00B3505F">
        <w:t>: Zagraniczni inwestorzy zamierzają rozszerzyć swoją działalność i zbudować sieć placówek handlowych  w Polsce. W celu podjęcia decyzji strategicznych konieczne jest m.in. zbadanie stopnia koncentracji liczby sklepów w stosunku do liczby ludności w poszczególnych województwach.</w:t>
      </w:r>
    </w:p>
    <w:p w:rsidR="00865D0F" w:rsidRPr="00B3505F" w:rsidRDefault="00893867" w:rsidP="00B3505F">
      <w:pPr>
        <w:spacing w:after="0" w:line="240" w:lineRule="auto"/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5 000-48 215</m:t>
            </m:r>
          </m:num>
          <m:den>
            <m:r>
              <w:rPr>
                <w:rFonts w:ascii="Cambria Math" w:hAnsi="Cambria Math"/>
              </w:rPr>
              <m:t>5 000</m:t>
            </m:r>
          </m:den>
        </m:f>
        <m:r>
          <w:rPr>
            <w:rFonts w:ascii="Cambria Math" w:hAnsi="Cambria Math"/>
          </w:rPr>
          <m:t>=0,0357</m:t>
        </m:r>
      </m:oMath>
      <w:r w:rsidR="00865D0F" w:rsidRPr="00B3505F">
        <w:tab/>
      </w:r>
    </w:p>
    <w:p w:rsidR="00893867" w:rsidRPr="00B3505F" w:rsidRDefault="00893867" w:rsidP="00B3505F">
      <w:pPr>
        <w:spacing w:after="0" w:line="240" w:lineRule="auto"/>
      </w:pPr>
      <w:r w:rsidRPr="00B3505F">
        <w:t>Wartość współczynnika Lorenza wskazuje, że rozmieszczenie sklepów w stosunku do ludności jest bardzo równomierne w przekroju województw. Można przypuszczać, iż w przekroju powiatów czy gmin współczynnik Lorenza byłby większy.</w:t>
      </w:r>
    </w:p>
    <w:p w:rsidR="00B3505F" w:rsidRDefault="00B3505F" w:rsidP="00B3505F">
      <w:pPr>
        <w:spacing w:after="0" w:line="240" w:lineRule="auto"/>
        <w:rPr>
          <w:u w:val="single"/>
        </w:rPr>
      </w:pPr>
    </w:p>
    <w:p w:rsidR="00B3505F" w:rsidRDefault="00B3505F" w:rsidP="00B3505F">
      <w:pPr>
        <w:spacing w:after="0" w:line="240" w:lineRule="auto"/>
        <w:rPr>
          <w:u w:val="single"/>
        </w:rPr>
      </w:pPr>
    </w:p>
    <w:p w:rsidR="00B3505F" w:rsidRDefault="00B3505F" w:rsidP="00B3505F">
      <w:pPr>
        <w:spacing w:after="0" w:line="240" w:lineRule="auto"/>
        <w:rPr>
          <w:u w:val="single"/>
        </w:rPr>
      </w:pPr>
    </w:p>
    <w:p w:rsidR="00B3505F" w:rsidRDefault="00B3505F" w:rsidP="00B3505F">
      <w:pPr>
        <w:spacing w:after="0" w:line="240" w:lineRule="auto"/>
        <w:rPr>
          <w:u w:val="single"/>
        </w:rPr>
      </w:pPr>
    </w:p>
    <w:p w:rsidR="00893867" w:rsidRPr="00B3505F" w:rsidRDefault="00893867" w:rsidP="00B3505F">
      <w:pPr>
        <w:spacing w:after="0" w:line="240" w:lineRule="auto"/>
        <w:rPr>
          <w:u w:val="single"/>
        </w:rPr>
      </w:pPr>
      <w:r w:rsidRPr="00B3505F">
        <w:rPr>
          <w:u w:val="single"/>
        </w:rPr>
        <w:lastRenderedPageBreak/>
        <w:t>5. Metoda standaryzacji cech (punktowa)</w:t>
      </w:r>
    </w:p>
    <w:p w:rsidR="00893867" w:rsidRPr="00B3505F" w:rsidRDefault="00893867" w:rsidP="00B3505F">
      <w:pPr>
        <w:spacing w:after="0" w:line="240" w:lineRule="auto"/>
      </w:pPr>
      <w:r w:rsidRPr="00B3505F">
        <w:t>Rejonizacja gmin z punktu widzenia różnorodnych odpadów komunalnych może ułatwić działania sprzedażowe firmy zajmującej się utylizacją odpadów. Pod uwagę mogą być brane następujące informacje: odpady metali (w tonach), zużyte oleje (w tys. litrów), drewno opakowaniowe (w m</w:t>
      </w:r>
      <w:r w:rsidRPr="00B3505F">
        <w:rPr>
          <w:vertAlign w:val="superscript"/>
        </w:rPr>
        <w:t>2</w:t>
      </w:r>
      <w:r w:rsidRPr="00B3505F">
        <w:t>), folia (w kg), itp. W celu pogrupowania gmin w obszary podobne do siebie z punktu widzenia oferty firmy zajmującej się utylizacją odpadów można zastosować metodę standaryzacji cech (punktową).</w:t>
      </w:r>
    </w:p>
    <w:p w:rsidR="00893867" w:rsidRPr="00B3505F" w:rsidRDefault="00893867" w:rsidP="00B3505F">
      <w:pPr>
        <w:spacing w:after="0" w:line="240" w:lineRule="auto"/>
      </w:pPr>
      <w:r w:rsidRPr="00B3505F">
        <w:t>W metodzie tej przydziela się punkty dla każdej cechy ujętej w wersji przeliczonej. Po zsumowaniu punktów wszystkich cech można dokonać podziału badanych jednostek przestrzennych na zespoły podobnych do siebie rejonów.</w:t>
      </w:r>
    </w:p>
    <w:p w:rsidR="00893867" w:rsidRPr="00B3505F" w:rsidRDefault="00893867" w:rsidP="00B3505F">
      <w:pPr>
        <w:spacing w:after="0" w:line="240" w:lineRule="auto"/>
      </w:pPr>
      <w:r w:rsidRPr="00B3505F">
        <w:t>Stosując metodę standaryzacji cech, można przydzielać indywidualne mierniki dla każdej cechy. Można przyjąć na przykład, że za każdą tonę odpadów metalowych przydzieli się 1 punkt (lub 10 czy 100 punktów), za tysiąc litrów odpadów olejowych również 1 lub 10 albo 100 punktów. Po przydzieleniu punktów dla każdej cechy można kontynuować opisaną wcześniej procedurę grupowania rejonów.</w:t>
      </w:r>
    </w:p>
    <w:p w:rsidR="00B3505F" w:rsidRDefault="00B3505F" w:rsidP="00B3505F">
      <w:pPr>
        <w:spacing w:after="0" w:line="240" w:lineRule="auto"/>
        <w:rPr>
          <w:b/>
        </w:rPr>
      </w:pPr>
    </w:p>
    <w:p w:rsidR="00252721" w:rsidRPr="00B3505F" w:rsidRDefault="00250480" w:rsidP="00B3505F">
      <w:pPr>
        <w:spacing w:after="0" w:line="240" w:lineRule="auto"/>
      </w:pPr>
      <w:r w:rsidRPr="00B3505F">
        <w:rPr>
          <w:b/>
        </w:rPr>
        <w:t>Przykład</w:t>
      </w:r>
      <w:r w:rsidRPr="00B3505F">
        <w:t xml:space="preserve">: Planuje się poczynienie dużych inwestycji w branży mięsnej. Podjęcie decyzji strategicznych wymaga zebrania informacji m.in. </w:t>
      </w:r>
      <w:r w:rsidR="008626F9" w:rsidRPr="00B3505F">
        <w:t>na temat przestrzennego zróżnicowania wybranych zjawisk. Korzystając z metody standaryzacji cech, wykonano następujące czynności:</w:t>
      </w:r>
      <w:r w:rsidR="008626F9" w:rsidRPr="00B3505F">
        <w:br/>
        <w:t>1) dokonano logicznego wyboru cech stanowiących podstawę do pomiaru zróżnicowania przestrzennego. Wybrano następujące cechy: produkcję mięsa i przetworów, liczbę producentów, liczbę sklepów, spożycie mięsa i przetworów.</w:t>
      </w:r>
      <w:r w:rsidR="008626F9" w:rsidRPr="00B3505F">
        <w:br/>
        <w:t>2) Z ogólnodostępnych źródeł statystycznych zebrano potrzebne dane w przekroju województw (tabela poniżej). Uwaga! Jeśli cechy są wyrażone w wartościach bezwzględnych to należy je przeliczyć na wartości względne. Jest to tzw. pierwotna standaryzacja.</w:t>
      </w:r>
      <w:r w:rsidR="008626F9" w:rsidRPr="00B3505F">
        <w:br/>
        <w:t xml:space="preserve">3) Dla każdej cechy (tj. produkcja mięsa i przetworów, liczby producentów, liczby sklepów, spożycia mięsa i przetworów) </w:t>
      </w:r>
      <w:r w:rsidR="00252721" w:rsidRPr="00B3505F">
        <w:t>obliczyć wartość przeciętną x̅</w:t>
      </w:r>
      <w:r w:rsidR="00492472" w:rsidRPr="00B3505F">
        <w:br/>
        <w:t>4)</w:t>
      </w:r>
      <w:r w:rsidR="00252721" w:rsidRPr="00B3505F">
        <w:t xml:space="preserve"> Określono liczbę punktów, jaką należy przyjąć dla wartości przeciętnej (x̅=10). Uwaga! Liczbę punktów można ustalić na innym poziomie, np. (x̅=1) lub (x̅=100).</w:t>
      </w:r>
      <w:r w:rsidR="00252721" w:rsidRPr="00B3505F">
        <w:br/>
        <w:t xml:space="preserve">5) Obliczono liczbę punktów (P) dla każdej cechy i każdego województwa: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x̅</m:t>
            </m:r>
          </m:den>
        </m:f>
        <m:r>
          <w:rPr>
            <w:rFonts w:ascii="Cambria Math" w:hAnsi="Cambria Math"/>
          </w:rPr>
          <m:t>=10.</m:t>
        </m:r>
      </m:oMath>
      <w:r w:rsidR="00252721" w:rsidRPr="00B3505F">
        <w:br/>
        <w:t>6) Zsumowano liczbę punktów dla każdego województwa.</w:t>
      </w:r>
      <w:r w:rsidR="00252721" w:rsidRPr="00B3505F">
        <w:br/>
        <w:t>7) Uporządkowano województwa według liczby uzyskanych punktów (w kolejności od największej do najmniejszej</w:t>
      </w:r>
      <w:r w:rsidR="00787592" w:rsidRPr="00B3505F">
        <w:t>), przeprowadzono klasyfikację województw, wyodrębniono rejony podobne, obliczono przeciętną liczbę punktów w rejonach.</w:t>
      </w:r>
      <w:r w:rsidR="00787592" w:rsidRPr="00B3505F">
        <w:br/>
        <w:t>8) Dokonano interpretacji wyników.</w:t>
      </w:r>
    </w:p>
    <w:p w:rsidR="00787592" w:rsidRPr="00B3505F" w:rsidRDefault="00787592" w:rsidP="00B3505F">
      <w:pPr>
        <w:spacing w:after="0" w:line="240" w:lineRule="auto"/>
      </w:pPr>
    </w:p>
    <w:p w:rsidR="00865D0F" w:rsidRPr="00B3505F" w:rsidRDefault="00865D0F" w:rsidP="00B3505F">
      <w:pPr>
        <w:spacing w:after="0" w:line="240" w:lineRule="auto"/>
      </w:pPr>
    </w:p>
    <w:p w:rsidR="00817AB7" w:rsidRPr="00B3505F" w:rsidRDefault="00817AB7" w:rsidP="00B3505F">
      <w:pPr>
        <w:spacing w:after="0" w:line="240" w:lineRule="auto"/>
      </w:pPr>
      <w:r w:rsidRPr="00B3505F">
        <w:br/>
      </w:r>
    </w:p>
    <w:p w:rsidR="00860746" w:rsidRPr="00B3505F" w:rsidRDefault="00860746" w:rsidP="00B3505F">
      <w:pPr>
        <w:spacing w:after="0" w:line="240" w:lineRule="auto"/>
      </w:pPr>
    </w:p>
    <w:p w:rsidR="00FB7406" w:rsidRPr="00B3505F" w:rsidRDefault="00FB7406" w:rsidP="00B3505F">
      <w:pPr>
        <w:spacing w:after="0" w:line="240" w:lineRule="auto"/>
        <w:rPr>
          <w:b/>
          <w:u w:val="single"/>
        </w:rPr>
      </w:pPr>
    </w:p>
    <w:sectPr w:rsidR="00FB7406" w:rsidRPr="00B3505F" w:rsidSect="00B3505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CBA"/>
    <w:multiLevelType w:val="hybridMultilevel"/>
    <w:tmpl w:val="E2F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3485"/>
    <w:multiLevelType w:val="hybridMultilevel"/>
    <w:tmpl w:val="0C3C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6"/>
    <w:rsid w:val="00002BEC"/>
    <w:rsid w:val="00005671"/>
    <w:rsid w:val="000B35C3"/>
    <w:rsid w:val="0017115E"/>
    <w:rsid w:val="001D4BFC"/>
    <w:rsid w:val="002256FA"/>
    <w:rsid w:val="00250480"/>
    <w:rsid w:val="00252721"/>
    <w:rsid w:val="00283F8D"/>
    <w:rsid w:val="002B2CEF"/>
    <w:rsid w:val="00352DAC"/>
    <w:rsid w:val="00492472"/>
    <w:rsid w:val="005C0049"/>
    <w:rsid w:val="00612992"/>
    <w:rsid w:val="006408BB"/>
    <w:rsid w:val="006B101F"/>
    <w:rsid w:val="006E5D1D"/>
    <w:rsid w:val="00787592"/>
    <w:rsid w:val="007A2F82"/>
    <w:rsid w:val="00817AB7"/>
    <w:rsid w:val="00860746"/>
    <w:rsid w:val="008626F9"/>
    <w:rsid w:val="00865D0F"/>
    <w:rsid w:val="00893867"/>
    <w:rsid w:val="008E1EAF"/>
    <w:rsid w:val="0090532D"/>
    <w:rsid w:val="00926893"/>
    <w:rsid w:val="00950ADB"/>
    <w:rsid w:val="00B3505F"/>
    <w:rsid w:val="00B81B2B"/>
    <w:rsid w:val="00BA122F"/>
    <w:rsid w:val="00C4015D"/>
    <w:rsid w:val="00E15A00"/>
    <w:rsid w:val="00ED6F84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2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6893"/>
    <w:pPr>
      <w:ind w:left="720"/>
      <w:contextualSpacing/>
    </w:pPr>
  </w:style>
  <w:style w:type="table" w:styleId="Tabela-Siatka">
    <w:name w:val="Table Grid"/>
    <w:basedOn w:val="Standardowy"/>
    <w:uiPriority w:val="59"/>
    <w:rsid w:val="00C4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2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6893"/>
    <w:pPr>
      <w:ind w:left="720"/>
      <w:contextualSpacing/>
    </w:pPr>
  </w:style>
  <w:style w:type="table" w:styleId="Tabela-Siatka">
    <w:name w:val="Table Grid"/>
    <w:basedOn w:val="Standardowy"/>
    <w:uiPriority w:val="59"/>
    <w:rsid w:val="00C4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Katarzyna Mihułka</cp:lastModifiedBy>
  <cp:revision>2</cp:revision>
  <dcterms:created xsi:type="dcterms:W3CDTF">2014-12-29T22:16:00Z</dcterms:created>
  <dcterms:modified xsi:type="dcterms:W3CDTF">2014-12-29T22:16:00Z</dcterms:modified>
</cp:coreProperties>
</file>