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DD" w:rsidRPr="00E7792A" w:rsidRDefault="00E7792A" w:rsidP="00E7792A">
      <w:pPr>
        <w:spacing w:after="0"/>
        <w:jc w:val="right"/>
        <w:rPr>
          <w:sz w:val="24"/>
          <w:szCs w:val="24"/>
        </w:rPr>
      </w:pPr>
      <w:r w:rsidRPr="00E7792A">
        <w:rPr>
          <w:sz w:val="24"/>
          <w:szCs w:val="24"/>
        </w:rPr>
        <w:t xml:space="preserve">cd. wykład X – ćwiczenia </w:t>
      </w:r>
      <w:r w:rsidR="007040B1" w:rsidRPr="00E7792A">
        <w:rPr>
          <w:sz w:val="24"/>
          <w:szCs w:val="24"/>
        </w:rPr>
        <w:t xml:space="preserve">08.01.2014r. </w:t>
      </w:r>
    </w:p>
    <w:p w:rsidR="007040B1" w:rsidRDefault="007040B1" w:rsidP="007040B1">
      <w:pPr>
        <w:spacing w:after="0"/>
        <w:rPr>
          <w:sz w:val="24"/>
        </w:rPr>
      </w:pPr>
    </w:p>
    <w:p w:rsidR="007040B1" w:rsidRDefault="007040B1" w:rsidP="00E7792A">
      <w:pPr>
        <w:spacing w:after="0"/>
        <w:jc w:val="center"/>
        <w:rPr>
          <w:b/>
          <w:sz w:val="28"/>
          <w:szCs w:val="28"/>
        </w:rPr>
      </w:pPr>
      <w:r w:rsidRPr="00E7792A">
        <w:rPr>
          <w:b/>
          <w:sz w:val="28"/>
          <w:szCs w:val="28"/>
        </w:rPr>
        <w:t>Wady oświadczenia woli (art. 82-88 k.c.)</w:t>
      </w:r>
    </w:p>
    <w:p w:rsidR="00E7792A" w:rsidRPr="00E7792A" w:rsidRDefault="00E7792A" w:rsidP="00E7792A">
      <w:pPr>
        <w:spacing w:after="0"/>
        <w:jc w:val="center"/>
        <w:rPr>
          <w:b/>
          <w:sz w:val="28"/>
          <w:szCs w:val="28"/>
        </w:rPr>
      </w:pPr>
      <w:bookmarkStart w:id="0" w:name="_GoBack"/>
      <w:bookmarkEnd w:id="0"/>
    </w:p>
    <w:p w:rsidR="007040B1" w:rsidRDefault="007040B1" w:rsidP="007040B1">
      <w:pPr>
        <w:spacing w:after="0"/>
        <w:rPr>
          <w:sz w:val="24"/>
        </w:rPr>
      </w:pPr>
      <w:r>
        <w:rPr>
          <w:sz w:val="24"/>
        </w:rPr>
        <w:t>Ujemne skutki wadliwości oświadczenia woli dla czynności prawnej, w ramach której oświadczenie złożono:</w:t>
      </w:r>
    </w:p>
    <w:p w:rsidR="007040B1" w:rsidRDefault="007040B1" w:rsidP="007040B1">
      <w:pPr>
        <w:spacing w:after="0"/>
        <w:rPr>
          <w:sz w:val="24"/>
        </w:rPr>
      </w:pPr>
      <w:r>
        <w:rPr>
          <w:sz w:val="24"/>
        </w:rPr>
        <w:t xml:space="preserve">a) </w:t>
      </w:r>
      <w:r>
        <w:rPr>
          <w:b/>
          <w:sz w:val="24"/>
        </w:rPr>
        <w:t xml:space="preserve">nieważność bezwzględna </w:t>
      </w:r>
      <w:r>
        <w:rPr>
          <w:sz w:val="24"/>
        </w:rPr>
        <w:t xml:space="preserve">czynności prawnej (1,2), bądź </w:t>
      </w:r>
    </w:p>
    <w:p w:rsidR="007040B1" w:rsidRDefault="007040B1" w:rsidP="007040B1">
      <w:pPr>
        <w:spacing w:after="0"/>
        <w:rPr>
          <w:sz w:val="24"/>
        </w:rPr>
      </w:pPr>
      <w:r>
        <w:rPr>
          <w:sz w:val="24"/>
        </w:rPr>
        <w:t xml:space="preserve">b) </w:t>
      </w:r>
      <w:r>
        <w:rPr>
          <w:b/>
          <w:sz w:val="24"/>
        </w:rPr>
        <w:t xml:space="preserve">nieważność względna </w:t>
      </w:r>
      <w:r>
        <w:rPr>
          <w:sz w:val="24"/>
        </w:rPr>
        <w:t>- umożliwienie osobie, która złożyła wadliwe oświadczenie, wycofania się ze skutków czynności prawnej (3,4,5)</w:t>
      </w:r>
    </w:p>
    <w:p w:rsidR="007040B1" w:rsidRDefault="007040B1" w:rsidP="007040B1">
      <w:pPr>
        <w:spacing w:after="0"/>
        <w:rPr>
          <w:sz w:val="24"/>
        </w:rPr>
      </w:pPr>
    </w:p>
    <w:p w:rsidR="007040B1" w:rsidRDefault="007040B1" w:rsidP="007040B1">
      <w:pPr>
        <w:spacing w:after="0"/>
        <w:rPr>
          <w:sz w:val="24"/>
        </w:rPr>
      </w:pPr>
      <w:r>
        <w:rPr>
          <w:sz w:val="24"/>
        </w:rPr>
        <w:t>K.c. wyróżnia następujące wady oświadczenia woli:</w:t>
      </w:r>
    </w:p>
    <w:p w:rsidR="007040B1" w:rsidRPr="007040B1" w:rsidRDefault="007040B1" w:rsidP="007040B1">
      <w:pPr>
        <w:pStyle w:val="Akapitzlist"/>
        <w:numPr>
          <w:ilvl w:val="0"/>
          <w:numId w:val="1"/>
        </w:numPr>
        <w:spacing w:after="0"/>
        <w:rPr>
          <w:b/>
          <w:sz w:val="24"/>
        </w:rPr>
      </w:pPr>
      <w:r w:rsidRPr="007040B1">
        <w:rPr>
          <w:b/>
          <w:sz w:val="24"/>
        </w:rPr>
        <w:t>brak świadomości lub swobody w powzięciu decyzji i wyrażeniu woli,</w:t>
      </w:r>
    </w:p>
    <w:p w:rsidR="007040B1" w:rsidRPr="007040B1" w:rsidRDefault="007040B1" w:rsidP="007040B1">
      <w:pPr>
        <w:pStyle w:val="Akapitzlist"/>
        <w:numPr>
          <w:ilvl w:val="0"/>
          <w:numId w:val="1"/>
        </w:numPr>
        <w:spacing w:after="0"/>
        <w:rPr>
          <w:b/>
          <w:sz w:val="24"/>
        </w:rPr>
      </w:pPr>
      <w:r w:rsidRPr="007040B1">
        <w:rPr>
          <w:b/>
          <w:sz w:val="24"/>
        </w:rPr>
        <w:t xml:space="preserve">pozorność, </w:t>
      </w:r>
    </w:p>
    <w:p w:rsidR="007040B1" w:rsidRPr="007040B1" w:rsidRDefault="007040B1" w:rsidP="007040B1">
      <w:pPr>
        <w:pStyle w:val="Akapitzlist"/>
        <w:numPr>
          <w:ilvl w:val="0"/>
          <w:numId w:val="1"/>
        </w:numPr>
        <w:spacing w:after="0"/>
        <w:rPr>
          <w:b/>
          <w:sz w:val="24"/>
        </w:rPr>
      </w:pPr>
      <w:r w:rsidRPr="007040B1">
        <w:rPr>
          <w:b/>
          <w:sz w:val="24"/>
        </w:rPr>
        <w:t>błąd,</w:t>
      </w:r>
    </w:p>
    <w:p w:rsidR="007040B1" w:rsidRPr="007040B1" w:rsidRDefault="007040B1" w:rsidP="007040B1">
      <w:pPr>
        <w:pStyle w:val="Akapitzlist"/>
        <w:numPr>
          <w:ilvl w:val="0"/>
          <w:numId w:val="1"/>
        </w:numPr>
        <w:spacing w:after="0"/>
        <w:rPr>
          <w:b/>
          <w:sz w:val="24"/>
        </w:rPr>
      </w:pPr>
      <w:r w:rsidRPr="007040B1">
        <w:rPr>
          <w:b/>
          <w:sz w:val="24"/>
        </w:rPr>
        <w:t>podstęp,</w:t>
      </w:r>
    </w:p>
    <w:p w:rsidR="007040B1" w:rsidRPr="007040B1" w:rsidRDefault="007040B1" w:rsidP="007040B1">
      <w:pPr>
        <w:pStyle w:val="Akapitzlist"/>
        <w:numPr>
          <w:ilvl w:val="0"/>
          <w:numId w:val="1"/>
        </w:numPr>
        <w:spacing w:after="0"/>
        <w:rPr>
          <w:b/>
          <w:sz w:val="24"/>
        </w:rPr>
      </w:pPr>
      <w:r w:rsidRPr="007040B1">
        <w:rPr>
          <w:b/>
          <w:sz w:val="24"/>
        </w:rPr>
        <w:t>groźbę.</w:t>
      </w:r>
    </w:p>
    <w:p w:rsidR="007040B1" w:rsidRDefault="007040B1" w:rsidP="007040B1">
      <w:pPr>
        <w:pStyle w:val="Akapitzlist"/>
        <w:spacing w:after="0"/>
        <w:ind w:left="0"/>
        <w:rPr>
          <w:sz w:val="24"/>
        </w:rPr>
      </w:pPr>
    </w:p>
    <w:p w:rsidR="007040B1" w:rsidRDefault="007040B1" w:rsidP="007040B1">
      <w:pPr>
        <w:pStyle w:val="Akapitzlist"/>
        <w:spacing w:after="0"/>
        <w:ind w:left="0"/>
        <w:rPr>
          <w:sz w:val="24"/>
        </w:rPr>
      </w:pPr>
      <w:r>
        <w:rPr>
          <w:sz w:val="24"/>
        </w:rPr>
        <w:t>ad. 1) brak świadomości lub swobody w chwili składania oświadczenia woli powoduje jego nieważność bezwzględna (art. 82 k.c.)</w:t>
      </w:r>
    </w:p>
    <w:p w:rsidR="007040B1" w:rsidRDefault="007040B1" w:rsidP="007040B1">
      <w:pPr>
        <w:pStyle w:val="Akapitzlist"/>
        <w:spacing w:after="0"/>
        <w:ind w:left="0"/>
        <w:rPr>
          <w:sz w:val="24"/>
        </w:rPr>
      </w:pPr>
    </w:p>
    <w:p w:rsidR="007040B1" w:rsidRDefault="007040B1" w:rsidP="007040B1">
      <w:pPr>
        <w:pStyle w:val="Akapitzlist"/>
        <w:spacing w:after="0"/>
        <w:ind w:left="0"/>
        <w:rPr>
          <w:sz w:val="24"/>
        </w:rPr>
      </w:pPr>
      <w:r>
        <w:rPr>
          <w:sz w:val="24"/>
        </w:rPr>
        <w:t xml:space="preserve">ad. 2) pozorność jest wadą polegającą na złożeniu oświadczenia za zgodą drugiej strony dla pozoru. Obie strony są zgodne co do tego, iż czynności albo nie </w:t>
      </w:r>
      <w:r w:rsidR="00B56DA7">
        <w:rPr>
          <w:sz w:val="24"/>
        </w:rPr>
        <w:t>ma wywoływać żadnych skutków prawnych albo też ma wprawdzie wywołać skutki prawne, ale inne aniżeli wynika to z treści pozornej czynności prawnej</w:t>
      </w:r>
    </w:p>
    <w:p w:rsidR="00864E3E" w:rsidRDefault="00864E3E" w:rsidP="007040B1">
      <w:pPr>
        <w:pStyle w:val="Akapitzlist"/>
        <w:spacing w:after="0"/>
        <w:ind w:left="0"/>
        <w:rPr>
          <w:sz w:val="24"/>
        </w:rPr>
      </w:pPr>
    </w:p>
    <w:p w:rsidR="00864E3E" w:rsidRDefault="00864E3E" w:rsidP="007040B1">
      <w:pPr>
        <w:pStyle w:val="Akapitzlist"/>
        <w:spacing w:after="0"/>
        <w:ind w:left="0"/>
        <w:rPr>
          <w:sz w:val="24"/>
        </w:rPr>
      </w:pPr>
      <w:r>
        <w:rPr>
          <w:sz w:val="24"/>
        </w:rPr>
        <w:t>ad. 3) błąd - polega na mylnym wyobrażeniu u osoby składającej oświadczeniu o rzeczywistym stanie albo na mylnym wyobrażeniu o treści złożonego oświadczenia</w:t>
      </w:r>
    </w:p>
    <w:p w:rsidR="00864E3E" w:rsidRDefault="00864E3E" w:rsidP="007040B1">
      <w:pPr>
        <w:pStyle w:val="Akapitzlist"/>
        <w:spacing w:after="0"/>
        <w:ind w:left="0"/>
        <w:rPr>
          <w:sz w:val="24"/>
        </w:rPr>
      </w:pPr>
      <w:r>
        <w:rPr>
          <w:sz w:val="24"/>
        </w:rPr>
        <w:t>- błąd nie powoduje nieważności bezwzględnej</w:t>
      </w:r>
    </w:p>
    <w:p w:rsidR="00864E3E" w:rsidRDefault="00864E3E" w:rsidP="007040B1">
      <w:pPr>
        <w:pStyle w:val="Akapitzlist"/>
        <w:spacing w:after="0"/>
        <w:ind w:left="0"/>
        <w:rPr>
          <w:sz w:val="24"/>
        </w:rPr>
      </w:pPr>
      <w:r>
        <w:rPr>
          <w:sz w:val="24"/>
        </w:rPr>
        <w:t>- jeżeli jednak oświadczenie woli było złożone innej osobie, uchylenie się od jego skutków prawnych może nastąpić tylko wtedy, gdy błąd został wywołany, przez tą osobę, chociażby bez jej winy, albo gdy wiedziała ona o błędzie i przemilczała to, albo gdy mogła z łatwością błąd zauważyć</w:t>
      </w:r>
    </w:p>
    <w:p w:rsidR="007040B1" w:rsidRDefault="00864E3E" w:rsidP="007040B1">
      <w:pPr>
        <w:pStyle w:val="Akapitzlist"/>
        <w:spacing w:after="0"/>
        <w:ind w:left="0"/>
        <w:rPr>
          <w:sz w:val="24"/>
        </w:rPr>
      </w:pPr>
      <w:r>
        <w:rPr>
          <w:sz w:val="24"/>
        </w:rPr>
        <w:t>- błąd jest wadą oświadczenia woli, gdy jest istotny</w:t>
      </w:r>
    </w:p>
    <w:p w:rsidR="00864E3E" w:rsidRDefault="00864E3E" w:rsidP="007040B1">
      <w:pPr>
        <w:pStyle w:val="Akapitzlist"/>
        <w:spacing w:after="0"/>
        <w:ind w:left="0"/>
        <w:rPr>
          <w:sz w:val="24"/>
        </w:rPr>
      </w:pPr>
    </w:p>
    <w:p w:rsidR="00864E3E" w:rsidRDefault="00864E3E" w:rsidP="007040B1">
      <w:pPr>
        <w:pStyle w:val="Akapitzlist"/>
        <w:spacing w:after="0"/>
        <w:ind w:left="0"/>
        <w:rPr>
          <w:sz w:val="24"/>
        </w:rPr>
      </w:pPr>
      <w:r>
        <w:rPr>
          <w:sz w:val="24"/>
        </w:rPr>
        <w:t>ad. 4) Groźba oznacza przymus psychiczny zastosowany w celu wymuszenia oświadczenia woli. Groźba musi być:</w:t>
      </w:r>
    </w:p>
    <w:p w:rsidR="00864E3E" w:rsidRDefault="00864E3E" w:rsidP="007040B1">
      <w:pPr>
        <w:pStyle w:val="Akapitzlist"/>
        <w:spacing w:after="0"/>
        <w:ind w:left="0"/>
        <w:rPr>
          <w:sz w:val="24"/>
        </w:rPr>
      </w:pPr>
      <w:r>
        <w:rPr>
          <w:sz w:val="24"/>
        </w:rPr>
        <w:t xml:space="preserve">- bezprawna - tzn. gdy sprawca grozi użyciem bezprawnego środka albo środka dozwolonego, którym jednak nie można się posługiwać dla wymuszenia oświadczenia woli </w:t>
      </w:r>
    </w:p>
    <w:p w:rsidR="007040B1" w:rsidRDefault="00B56DA7" w:rsidP="007040B1">
      <w:pPr>
        <w:pStyle w:val="Akapitzlist"/>
        <w:spacing w:after="0"/>
        <w:ind w:left="0"/>
        <w:rPr>
          <w:sz w:val="24"/>
        </w:rPr>
      </w:pPr>
      <w:r>
        <w:rPr>
          <w:sz w:val="24"/>
        </w:rPr>
        <w:t xml:space="preserve">- oraz poważna - tzn. taka, że składający oświadczenie woli może się obawiać, iż jemu lub innej osobie grozi poważne niebezpieczeństwo osobiste lub majątkowe. </w:t>
      </w:r>
    </w:p>
    <w:p w:rsidR="007040B1" w:rsidRPr="007040B1" w:rsidRDefault="007040B1" w:rsidP="007040B1">
      <w:pPr>
        <w:pStyle w:val="Akapitzlist"/>
        <w:spacing w:after="0"/>
        <w:ind w:left="0"/>
        <w:rPr>
          <w:sz w:val="24"/>
        </w:rPr>
      </w:pPr>
    </w:p>
    <w:sectPr w:rsidR="007040B1" w:rsidRPr="007040B1" w:rsidSect="002772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A59" w:rsidRDefault="00B11A59" w:rsidP="00864E3E">
      <w:pPr>
        <w:spacing w:after="0" w:line="240" w:lineRule="auto"/>
      </w:pPr>
      <w:r>
        <w:separator/>
      </w:r>
    </w:p>
  </w:endnote>
  <w:endnote w:type="continuationSeparator" w:id="0">
    <w:p w:rsidR="00B11A59" w:rsidRDefault="00B11A59" w:rsidP="0086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A59" w:rsidRDefault="00B11A59" w:rsidP="00864E3E">
      <w:pPr>
        <w:spacing w:after="0" w:line="240" w:lineRule="auto"/>
      </w:pPr>
      <w:r>
        <w:separator/>
      </w:r>
    </w:p>
  </w:footnote>
  <w:footnote w:type="continuationSeparator" w:id="0">
    <w:p w:rsidR="00B11A59" w:rsidRDefault="00B11A59" w:rsidP="00864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77E09"/>
    <w:multiLevelType w:val="hybridMultilevel"/>
    <w:tmpl w:val="C4E41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40B1"/>
    <w:rsid w:val="002772DD"/>
    <w:rsid w:val="0034315F"/>
    <w:rsid w:val="007040B1"/>
    <w:rsid w:val="00864E3E"/>
    <w:rsid w:val="009A4B5C"/>
    <w:rsid w:val="00B11A59"/>
    <w:rsid w:val="00B56DA7"/>
    <w:rsid w:val="00C36D1C"/>
    <w:rsid w:val="00E77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72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40B1"/>
    <w:pPr>
      <w:ind w:left="720"/>
      <w:contextualSpacing/>
    </w:pPr>
  </w:style>
  <w:style w:type="paragraph" w:styleId="Tekstprzypisukocowego">
    <w:name w:val="endnote text"/>
    <w:basedOn w:val="Normalny"/>
    <w:link w:val="TekstprzypisukocowegoZnak"/>
    <w:uiPriority w:val="99"/>
    <w:semiHidden/>
    <w:unhideWhenUsed/>
    <w:rsid w:val="00864E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4E3E"/>
    <w:rPr>
      <w:sz w:val="20"/>
      <w:szCs w:val="20"/>
    </w:rPr>
  </w:style>
  <w:style w:type="character" w:styleId="Odwoanieprzypisukocowego">
    <w:name w:val="endnote reference"/>
    <w:basedOn w:val="Domylnaczcionkaakapitu"/>
    <w:uiPriority w:val="99"/>
    <w:semiHidden/>
    <w:unhideWhenUsed/>
    <w:rsid w:val="00864E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275</Words>
  <Characters>1655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Mihułka</cp:lastModifiedBy>
  <cp:revision>5</cp:revision>
  <cp:lastPrinted>2014-01-09T17:27:00Z</cp:lastPrinted>
  <dcterms:created xsi:type="dcterms:W3CDTF">2014-01-09T09:53:00Z</dcterms:created>
  <dcterms:modified xsi:type="dcterms:W3CDTF">2014-01-09T17:27:00Z</dcterms:modified>
</cp:coreProperties>
</file>