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DD" w:rsidRDefault="001E4ED5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27.05.2013r, Wrocław</w:t>
      </w:r>
    </w:p>
    <w:p w:rsidR="007744DD" w:rsidRDefault="007744DD" w:rsidP="007744DD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7744DD" w:rsidRDefault="007744DD" w:rsidP="007744DD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7744DD" w:rsidRDefault="007744DD" w:rsidP="007744DD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7744DD" w:rsidRDefault="007744DD" w:rsidP="007744DD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7744DD" w:rsidRPr="007744DD" w:rsidRDefault="001E4ED5" w:rsidP="007744DD">
      <w:pPr>
        <w:spacing w:line="36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  <w:r>
        <w:rPr>
          <w:rFonts w:ascii="Times New Roman" w:hAnsi="Times New Roman" w:cs="Times New Roman"/>
          <w:sz w:val="24"/>
        </w:rPr>
        <w:br/>
      </w:r>
      <w:r w:rsidR="00244047" w:rsidRPr="007744DD">
        <w:rPr>
          <w:rFonts w:ascii="Times New Roman" w:hAnsi="Times New Roman" w:cs="Times New Roman"/>
          <w:sz w:val="56"/>
          <w:szCs w:val="40"/>
        </w:rPr>
        <w:br/>
      </w:r>
      <w:r w:rsidR="00244047" w:rsidRPr="007744DD">
        <w:rPr>
          <w:rFonts w:ascii="Times New Roman" w:hAnsi="Times New Roman" w:cs="Times New Roman"/>
          <w:sz w:val="56"/>
          <w:szCs w:val="40"/>
        </w:rPr>
        <w:br/>
      </w:r>
      <w:r w:rsidR="00244047" w:rsidRPr="007744DD">
        <w:rPr>
          <w:rFonts w:ascii="Times New Roman" w:hAnsi="Times New Roman" w:cs="Times New Roman"/>
          <w:b/>
          <w:sz w:val="56"/>
          <w:szCs w:val="40"/>
        </w:rPr>
        <w:t>Temat:</w:t>
      </w:r>
      <w:r w:rsidR="00244047" w:rsidRPr="007744DD">
        <w:rPr>
          <w:rFonts w:ascii="Times New Roman" w:hAnsi="Times New Roman" w:cs="Times New Roman"/>
          <w:sz w:val="56"/>
          <w:szCs w:val="40"/>
        </w:rPr>
        <w:t xml:space="preserve"> </w:t>
      </w:r>
      <w:r w:rsidR="00244047" w:rsidRPr="007744DD">
        <w:rPr>
          <w:rFonts w:ascii="Times New Roman" w:hAnsi="Times New Roman" w:cs="Times New Roman"/>
          <w:i/>
          <w:sz w:val="56"/>
          <w:szCs w:val="40"/>
          <w:u w:val="single"/>
        </w:rPr>
        <w:t>Rynek nawozów mineralnych.</w:t>
      </w:r>
    </w:p>
    <w:p w:rsidR="007744DD" w:rsidRPr="007744DD" w:rsidRDefault="007744DD" w:rsidP="004E6929">
      <w:pPr>
        <w:spacing w:line="360" w:lineRule="auto"/>
        <w:rPr>
          <w:rFonts w:ascii="Times New Roman" w:hAnsi="Times New Roman" w:cs="Times New Roman"/>
          <w:i/>
          <w:sz w:val="40"/>
          <w:u w:val="single"/>
        </w:rPr>
      </w:pPr>
    </w:p>
    <w:p w:rsidR="007744DD" w:rsidRDefault="007744DD" w:rsidP="004E6929">
      <w:pPr>
        <w:spacing w:line="360" w:lineRule="auto"/>
        <w:rPr>
          <w:rFonts w:ascii="Times New Roman" w:hAnsi="Times New Roman" w:cs="Times New Roman"/>
          <w:i/>
          <w:sz w:val="24"/>
          <w:u w:val="single"/>
        </w:rPr>
      </w:pPr>
    </w:p>
    <w:p w:rsidR="007744DD" w:rsidRDefault="007744DD" w:rsidP="004E6929">
      <w:pPr>
        <w:spacing w:line="360" w:lineRule="auto"/>
        <w:rPr>
          <w:rFonts w:ascii="Times New Roman" w:hAnsi="Times New Roman" w:cs="Times New Roman"/>
          <w:i/>
          <w:sz w:val="24"/>
          <w:u w:val="single"/>
        </w:rPr>
      </w:pPr>
    </w:p>
    <w:p w:rsidR="007744DD" w:rsidRDefault="007744DD" w:rsidP="004E6929">
      <w:pPr>
        <w:spacing w:line="360" w:lineRule="auto"/>
        <w:rPr>
          <w:rFonts w:ascii="Times New Roman" w:hAnsi="Times New Roman" w:cs="Times New Roman"/>
          <w:i/>
          <w:sz w:val="24"/>
          <w:u w:val="single"/>
        </w:rPr>
      </w:pPr>
    </w:p>
    <w:p w:rsidR="007744DD" w:rsidRDefault="007744DD" w:rsidP="004E6929">
      <w:pPr>
        <w:spacing w:line="360" w:lineRule="auto"/>
        <w:rPr>
          <w:rFonts w:ascii="Times New Roman" w:hAnsi="Times New Roman" w:cs="Times New Roman"/>
          <w:i/>
          <w:sz w:val="24"/>
          <w:u w:val="single"/>
        </w:rPr>
      </w:pPr>
    </w:p>
    <w:p w:rsidR="007744DD" w:rsidRDefault="007744DD" w:rsidP="004E6929">
      <w:pPr>
        <w:spacing w:line="360" w:lineRule="auto"/>
        <w:rPr>
          <w:rFonts w:ascii="Times New Roman" w:hAnsi="Times New Roman" w:cs="Times New Roman"/>
          <w:i/>
          <w:sz w:val="24"/>
          <w:u w:val="single"/>
        </w:rPr>
      </w:pPr>
    </w:p>
    <w:p w:rsidR="007744DD" w:rsidRDefault="007744DD" w:rsidP="004E6929">
      <w:pPr>
        <w:spacing w:line="360" w:lineRule="auto"/>
        <w:rPr>
          <w:rFonts w:ascii="Times New Roman" w:hAnsi="Times New Roman" w:cs="Times New Roman"/>
          <w:i/>
          <w:sz w:val="24"/>
          <w:u w:val="single"/>
        </w:rPr>
      </w:pPr>
    </w:p>
    <w:p w:rsidR="007744DD" w:rsidRDefault="007744DD" w:rsidP="004E6929">
      <w:pPr>
        <w:spacing w:line="360" w:lineRule="auto"/>
        <w:rPr>
          <w:rFonts w:ascii="Times New Roman" w:hAnsi="Times New Roman" w:cs="Times New Roman"/>
          <w:i/>
          <w:sz w:val="24"/>
          <w:u w:val="single"/>
        </w:rPr>
      </w:pPr>
    </w:p>
    <w:p w:rsidR="007744DD" w:rsidRDefault="007744DD" w:rsidP="004E6929">
      <w:pPr>
        <w:spacing w:line="360" w:lineRule="auto"/>
        <w:rPr>
          <w:rFonts w:ascii="Times New Roman" w:hAnsi="Times New Roman" w:cs="Times New Roman"/>
          <w:i/>
          <w:sz w:val="24"/>
          <w:u w:val="single"/>
        </w:rPr>
      </w:pPr>
    </w:p>
    <w:p w:rsidR="007744DD" w:rsidRDefault="007744DD" w:rsidP="007744DD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br/>
        <w:t>grupa: 2</w:t>
      </w:r>
      <w:r>
        <w:rPr>
          <w:rFonts w:ascii="Times New Roman" w:hAnsi="Times New Roman" w:cs="Times New Roman"/>
          <w:sz w:val="24"/>
        </w:rPr>
        <w:br/>
        <w:t>rok: II</w:t>
      </w:r>
      <w:r>
        <w:rPr>
          <w:rFonts w:ascii="Times New Roman" w:hAnsi="Times New Roman" w:cs="Times New Roman"/>
          <w:sz w:val="24"/>
        </w:rPr>
        <w:br/>
        <w:t>kierunek: Ekonomia</w:t>
      </w:r>
      <w:r>
        <w:rPr>
          <w:rFonts w:ascii="Times New Roman" w:hAnsi="Times New Roman" w:cs="Times New Roman"/>
          <w:sz w:val="24"/>
        </w:rPr>
        <w:br/>
        <w:t>wydział: Przyrodniczo – Technologiczny</w:t>
      </w:r>
    </w:p>
    <w:p w:rsidR="007744DD" w:rsidRDefault="007744DD" w:rsidP="007744DD">
      <w:pPr>
        <w:spacing w:line="360" w:lineRule="auto"/>
        <w:jc w:val="right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Uniwersytet Przyrodniczy we Wrocławiu</w:t>
      </w:r>
    </w:p>
    <w:p w:rsidR="00757882" w:rsidRDefault="00757882" w:rsidP="0075788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Spis treści</w:t>
      </w:r>
    </w:p>
    <w:p w:rsidR="007744DD" w:rsidRPr="007744DD" w:rsidRDefault="007744DD" w:rsidP="007744DD">
      <w:pPr>
        <w:spacing w:line="360" w:lineRule="auto"/>
        <w:rPr>
          <w:rFonts w:ascii="Times New Roman" w:hAnsi="Times New Roman" w:cs="Times New Roman"/>
          <w:sz w:val="24"/>
        </w:rPr>
      </w:pPr>
      <w:r w:rsidRPr="007744DD">
        <w:rPr>
          <w:rFonts w:ascii="Times New Roman" w:hAnsi="Times New Roman" w:cs="Times New Roman"/>
          <w:sz w:val="24"/>
        </w:rPr>
        <w:t>WSTĘP</w:t>
      </w:r>
    </w:p>
    <w:p w:rsidR="00757882" w:rsidRPr="007744DD" w:rsidRDefault="00757882" w:rsidP="007578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7744DD">
        <w:rPr>
          <w:rFonts w:ascii="Times New Roman" w:hAnsi="Times New Roman" w:cs="Times New Roman"/>
          <w:sz w:val="24"/>
        </w:rPr>
        <w:t>Co to są nawozy mineralne…</w:t>
      </w:r>
      <w:r w:rsidR="007744DD">
        <w:rPr>
          <w:rFonts w:ascii="Times New Roman" w:hAnsi="Times New Roman" w:cs="Times New Roman"/>
          <w:sz w:val="24"/>
        </w:rPr>
        <w:t>……………………………</w:t>
      </w:r>
      <w:r w:rsidR="00A910AE">
        <w:rPr>
          <w:rFonts w:ascii="Times New Roman" w:hAnsi="Times New Roman" w:cs="Times New Roman"/>
          <w:sz w:val="24"/>
        </w:rPr>
        <w:t>...</w:t>
      </w:r>
      <w:r w:rsidR="007744DD">
        <w:rPr>
          <w:rFonts w:ascii="Times New Roman" w:hAnsi="Times New Roman" w:cs="Times New Roman"/>
          <w:sz w:val="24"/>
        </w:rPr>
        <w:t>…………………………………</w:t>
      </w:r>
      <w:r w:rsidRPr="007744DD">
        <w:rPr>
          <w:rFonts w:ascii="Times New Roman" w:hAnsi="Times New Roman" w:cs="Times New Roman"/>
          <w:sz w:val="24"/>
        </w:rPr>
        <w:t>.</w:t>
      </w:r>
      <w:r w:rsidR="007744DD">
        <w:rPr>
          <w:rFonts w:ascii="Times New Roman" w:hAnsi="Times New Roman" w:cs="Times New Roman"/>
          <w:sz w:val="24"/>
        </w:rPr>
        <w:t>3</w:t>
      </w:r>
    </w:p>
    <w:p w:rsidR="00757882" w:rsidRPr="007744DD" w:rsidRDefault="00757882" w:rsidP="007578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7744DD">
        <w:rPr>
          <w:rFonts w:ascii="Times New Roman" w:hAnsi="Times New Roman" w:cs="Times New Roman"/>
          <w:sz w:val="24"/>
        </w:rPr>
        <w:t>Rynek nawozów mineralnych w Polsce</w:t>
      </w:r>
      <w:r w:rsidR="00A910AE">
        <w:rPr>
          <w:rFonts w:ascii="Times New Roman" w:hAnsi="Times New Roman" w:cs="Times New Roman"/>
          <w:sz w:val="24"/>
        </w:rPr>
        <w:t>………………………………………………….</w:t>
      </w:r>
      <w:r w:rsidRPr="007744DD">
        <w:rPr>
          <w:rFonts w:ascii="Times New Roman" w:hAnsi="Times New Roman" w:cs="Times New Roman"/>
          <w:sz w:val="24"/>
        </w:rPr>
        <w:t>…</w:t>
      </w:r>
      <w:r w:rsidR="007744DD">
        <w:rPr>
          <w:rFonts w:ascii="Times New Roman" w:hAnsi="Times New Roman" w:cs="Times New Roman"/>
          <w:sz w:val="24"/>
        </w:rPr>
        <w:t>3-9</w:t>
      </w:r>
    </w:p>
    <w:p w:rsidR="00757882" w:rsidRPr="007744DD" w:rsidRDefault="00757882" w:rsidP="00757882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7744DD">
        <w:rPr>
          <w:rFonts w:ascii="Times New Roman" w:hAnsi="Times New Roman" w:cs="Times New Roman"/>
          <w:sz w:val="24"/>
        </w:rPr>
        <w:t>2.1 Zużycie nawozów mineralnych w Polsce</w:t>
      </w:r>
      <w:r w:rsidR="00A910AE">
        <w:rPr>
          <w:rFonts w:ascii="Times New Roman" w:hAnsi="Times New Roman" w:cs="Times New Roman"/>
          <w:sz w:val="24"/>
        </w:rPr>
        <w:t>……………………………………………….</w:t>
      </w:r>
      <w:r w:rsidR="007744DD">
        <w:rPr>
          <w:rFonts w:ascii="Times New Roman" w:hAnsi="Times New Roman" w:cs="Times New Roman"/>
          <w:sz w:val="24"/>
        </w:rPr>
        <w:t>3-7</w:t>
      </w:r>
    </w:p>
    <w:p w:rsidR="00757882" w:rsidRPr="007744DD" w:rsidRDefault="00757882" w:rsidP="00757882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7744DD">
        <w:rPr>
          <w:rFonts w:ascii="Times New Roman" w:hAnsi="Times New Roman" w:cs="Times New Roman"/>
          <w:sz w:val="24"/>
        </w:rPr>
        <w:t>2.2</w:t>
      </w:r>
      <w:r w:rsidR="00A910AE">
        <w:rPr>
          <w:rFonts w:ascii="Times New Roman" w:hAnsi="Times New Roman" w:cs="Times New Roman"/>
          <w:sz w:val="24"/>
        </w:rPr>
        <w:t xml:space="preserve"> Ceny i relacje……………………………………………………………………………</w:t>
      </w:r>
      <w:r w:rsidR="007744DD">
        <w:rPr>
          <w:rFonts w:ascii="Times New Roman" w:hAnsi="Times New Roman" w:cs="Times New Roman"/>
          <w:sz w:val="24"/>
        </w:rPr>
        <w:t>7-9</w:t>
      </w:r>
    </w:p>
    <w:p w:rsidR="00757882" w:rsidRPr="007744DD" w:rsidRDefault="00757882" w:rsidP="00757882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7744DD">
        <w:rPr>
          <w:rFonts w:ascii="Times New Roman" w:hAnsi="Times New Roman" w:cs="Times New Roman"/>
          <w:sz w:val="24"/>
        </w:rPr>
        <w:t>2.3 Nawozy wapniowe</w:t>
      </w:r>
      <w:r w:rsidR="00A910AE">
        <w:rPr>
          <w:rFonts w:ascii="Times New Roman" w:hAnsi="Times New Roman" w:cs="Times New Roman"/>
          <w:sz w:val="24"/>
        </w:rPr>
        <w:t>………………………………………………………………………...</w:t>
      </w:r>
      <w:r w:rsidR="007744DD">
        <w:rPr>
          <w:rFonts w:ascii="Times New Roman" w:hAnsi="Times New Roman" w:cs="Times New Roman"/>
          <w:sz w:val="24"/>
        </w:rPr>
        <w:t>9</w:t>
      </w:r>
    </w:p>
    <w:p w:rsidR="00757882" w:rsidRPr="007744DD" w:rsidRDefault="00757882" w:rsidP="00757882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7744DD">
        <w:rPr>
          <w:rFonts w:ascii="Times New Roman" w:hAnsi="Times New Roman" w:cs="Times New Roman"/>
          <w:sz w:val="24"/>
        </w:rPr>
        <w:t>2.4 Prognoza zużycia nawozów mineralnych pod zbiory 2012r</w:t>
      </w:r>
      <w:r w:rsidR="00A910AE">
        <w:rPr>
          <w:rFonts w:ascii="Times New Roman" w:hAnsi="Times New Roman" w:cs="Times New Roman"/>
          <w:sz w:val="24"/>
        </w:rPr>
        <w:t>……………………………...</w:t>
      </w:r>
      <w:r w:rsidR="007744DD">
        <w:rPr>
          <w:rFonts w:ascii="Times New Roman" w:hAnsi="Times New Roman" w:cs="Times New Roman"/>
          <w:sz w:val="24"/>
        </w:rPr>
        <w:t>9</w:t>
      </w:r>
    </w:p>
    <w:p w:rsidR="00757882" w:rsidRPr="007744DD" w:rsidRDefault="00757882" w:rsidP="007578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7744DD">
        <w:rPr>
          <w:rFonts w:ascii="Times New Roman" w:hAnsi="Times New Roman" w:cs="Times New Roman"/>
          <w:sz w:val="24"/>
        </w:rPr>
        <w:t>Światowy rynek nawozów mineralnych</w:t>
      </w:r>
      <w:r w:rsidR="00A910AE">
        <w:rPr>
          <w:rFonts w:ascii="Times New Roman" w:hAnsi="Times New Roman" w:cs="Times New Roman"/>
          <w:sz w:val="24"/>
        </w:rPr>
        <w:t>………………………………………………….</w:t>
      </w:r>
      <w:r w:rsidR="007744DD">
        <w:rPr>
          <w:rFonts w:ascii="Times New Roman" w:hAnsi="Times New Roman" w:cs="Times New Roman"/>
          <w:sz w:val="24"/>
        </w:rPr>
        <w:t>10-</w:t>
      </w:r>
      <w:r w:rsidR="00A910AE">
        <w:rPr>
          <w:rFonts w:ascii="Times New Roman" w:hAnsi="Times New Roman" w:cs="Times New Roman"/>
          <w:sz w:val="24"/>
        </w:rPr>
        <w:t>17</w:t>
      </w:r>
    </w:p>
    <w:p w:rsidR="00757882" w:rsidRPr="007744DD" w:rsidRDefault="00757882" w:rsidP="00757882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7744DD">
        <w:rPr>
          <w:rFonts w:ascii="Times New Roman" w:hAnsi="Times New Roman" w:cs="Times New Roman"/>
          <w:sz w:val="24"/>
        </w:rPr>
        <w:t xml:space="preserve">3.1 </w:t>
      </w:r>
      <w:r w:rsidR="00A910AE">
        <w:rPr>
          <w:rFonts w:ascii="Times New Roman" w:hAnsi="Times New Roman" w:cs="Times New Roman"/>
          <w:sz w:val="24"/>
        </w:rPr>
        <w:t>Produkcja nawozów mineralnych…………………………………………………….</w:t>
      </w:r>
      <w:r w:rsidR="007744DD">
        <w:rPr>
          <w:rFonts w:ascii="Times New Roman" w:hAnsi="Times New Roman" w:cs="Times New Roman"/>
          <w:sz w:val="24"/>
        </w:rPr>
        <w:t>10-11</w:t>
      </w:r>
    </w:p>
    <w:p w:rsidR="00757882" w:rsidRPr="007744DD" w:rsidRDefault="00757882" w:rsidP="00757882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7744DD">
        <w:rPr>
          <w:rFonts w:ascii="Times New Roman" w:hAnsi="Times New Roman" w:cs="Times New Roman"/>
          <w:sz w:val="24"/>
        </w:rPr>
        <w:t>3.2</w:t>
      </w:r>
      <w:r w:rsidR="00A910AE">
        <w:rPr>
          <w:rFonts w:ascii="Times New Roman" w:hAnsi="Times New Roman" w:cs="Times New Roman"/>
          <w:sz w:val="24"/>
        </w:rPr>
        <w:t xml:space="preserve"> Zużycie nawozów mineralnych………………………………………………………11-14</w:t>
      </w:r>
    </w:p>
    <w:p w:rsidR="00757882" w:rsidRPr="007744DD" w:rsidRDefault="00757882" w:rsidP="00757882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7744DD">
        <w:rPr>
          <w:rFonts w:ascii="Times New Roman" w:hAnsi="Times New Roman" w:cs="Times New Roman"/>
          <w:sz w:val="24"/>
        </w:rPr>
        <w:t>3.3 Ceny nawozów mineralnych</w:t>
      </w:r>
      <w:r w:rsidR="00A910AE">
        <w:rPr>
          <w:rFonts w:ascii="Times New Roman" w:hAnsi="Times New Roman" w:cs="Times New Roman"/>
          <w:sz w:val="24"/>
        </w:rPr>
        <w:t>……………………………………………………………..15</w:t>
      </w:r>
    </w:p>
    <w:p w:rsidR="00757882" w:rsidRPr="007744DD" w:rsidRDefault="00757882" w:rsidP="00757882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7744DD">
        <w:rPr>
          <w:rFonts w:ascii="Times New Roman" w:hAnsi="Times New Roman" w:cs="Times New Roman"/>
          <w:sz w:val="24"/>
        </w:rPr>
        <w:t>3.4 Zmiany zużycia nawozów mineralnych w Unii Europejskiej</w:t>
      </w:r>
      <w:r w:rsidR="00A910AE">
        <w:rPr>
          <w:rFonts w:ascii="Times New Roman" w:hAnsi="Times New Roman" w:cs="Times New Roman"/>
          <w:sz w:val="24"/>
        </w:rPr>
        <w:t>………………………..15-17</w:t>
      </w:r>
    </w:p>
    <w:p w:rsidR="00757882" w:rsidRPr="007744DD" w:rsidRDefault="007744DD" w:rsidP="007744D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7744DD">
        <w:rPr>
          <w:rFonts w:ascii="Times New Roman" w:hAnsi="Times New Roman" w:cs="Times New Roman"/>
          <w:sz w:val="24"/>
        </w:rPr>
        <w:t>Bibliografia</w:t>
      </w:r>
      <w:r w:rsidR="00A910AE">
        <w:rPr>
          <w:rFonts w:ascii="Times New Roman" w:hAnsi="Times New Roman" w:cs="Times New Roman"/>
          <w:sz w:val="24"/>
        </w:rPr>
        <w:t>…………………………………………………………………………………..17</w:t>
      </w:r>
    </w:p>
    <w:p w:rsidR="00757882" w:rsidRPr="00757882" w:rsidRDefault="00757882" w:rsidP="00757882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</w:p>
    <w:p w:rsidR="00757882" w:rsidRPr="00757882" w:rsidRDefault="00757882" w:rsidP="00757882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</w:rPr>
      </w:pPr>
    </w:p>
    <w:p w:rsidR="00757882" w:rsidRDefault="00757882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57882" w:rsidRDefault="00757882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57882" w:rsidRDefault="00757882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57882" w:rsidRDefault="00757882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57882" w:rsidRDefault="00757882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57882" w:rsidRDefault="00757882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57882" w:rsidRDefault="00757882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57882" w:rsidRDefault="00757882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57882" w:rsidRDefault="00757882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57882" w:rsidRDefault="00757882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57882" w:rsidRDefault="00757882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57882" w:rsidRDefault="00757882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57882" w:rsidRDefault="00757882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4E6929" w:rsidRPr="004E6929" w:rsidRDefault="00113BD7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1. </w:t>
      </w:r>
      <w:r w:rsidR="00F7654C">
        <w:rPr>
          <w:rFonts w:ascii="Times New Roman" w:hAnsi="Times New Roman" w:cs="Times New Roman"/>
          <w:b/>
          <w:sz w:val="24"/>
        </w:rPr>
        <w:t>CO TO SĄ NAWOZY MINERALNE</w:t>
      </w:r>
      <w:r w:rsidR="004E6929">
        <w:rPr>
          <w:rFonts w:ascii="Times New Roman" w:hAnsi="Times New Roman" w:cs="Times New Roman"/>
          <w:b/>
          <w:sz w:val="24"/>
        </w:rPr>
        <w:t>?</w:t>
      </w:r>
      <w:r w:rsidR="004E6929">
        <w:rPr>
          <w:rFonts w:ascii="Times New Roman" w:hAnsi="Times New Roman" w:cs="Times New Roman"/>
          <w:b/>
          <w:sz w:val="24"/>
        </w:rPr>
        <w:br/>
      </w:r>
      <w:r w:rsidR="00F7654C">
        <w:rPr>
          <w:rFonts w:ascii="Times New Roman" w:hAnsi="Times New Roman" w:cs="Times New Roman"/>
          <w:sz w:val="24"/>
        </w:rPr>
        <w:t xml:space="preserve">            Nawozy mineralne to </w:t>
      </w:r>
      <w:r w:rsidR="004E6929" w:rsidRPr="004E6929">
        <w:rPr>
          <w:rFonts w:ascii="Times New Roman" w:hAnsi="Times New Roman" w:cs="Times New Roman"/>
          <w:sz w:val="24"/>
        </w:rPr>
        <w:t>potocznie zwane nawozami sztucznymi, substancje wydobywane z ziemi i przetworzone lub produkowane chemicznie, wzbogacające glebę w składniki mineralne niezbędne dla rozwoju roślin, poprawiające strukturę gleby lub zmieniające jej kwasowość.</w:t>
      </w:r>
    </w:p>
    <w:p w:rsidR="0024522B" w:rsidRDefault="004E6929" w:rsidP="00F7654C">
      <w:pPr>
        <w:spacing w:line="360" w:lineRule="auto"/>
        <w:ind w:firstLine="708"/>
        <w:rPr>
          <w:rFonts w:ascii="Times New Roman" w:hAnsi="Times New Roman" w:cs="Times New Roman"/>
          <w:b/>
          <w:sz w:val="24"/>
        </w:rPr>
      </w:pPr>
      <w:r w:rsidRPr="004E6929">
        <w:rPr>
          <w:rFonts w:ascii="Times New Roman" w:hAnsi="Times New Roman" w:cs="Times New Roman"/>
          <w:sz w:val="24"/>
        </w:rPr>
        <w:t xml:space="preserve">Do najważniejszych składników nawozów należą: azot (N), fosfor (P), potas (K) ("nawozy NPK"). </w:t>
      </w:r>
      <w:r w:rsidR="00F377E4">
        <w:rPr>
          <w:rFonts w:ascii="Times New Roman" w:hAnsi="Times New Roman" w:cs="Times New Roman"/>
          <w:sz w:val="24"/>
        </w:rPr>
        <w:br/>
      </w:r>
      <w:r w:rsidR="00F377E4">
        <w:rPr>
          <w:rFonts w:ascii="Times New Roman" w:hAnsi="Times New Roman" w:cs="Times New Roman"/>
          <w:sz w:val="24"/>
        </w:rPr>
        <w:br/>
      </w:r>
      <w:r w:rsidR="00113BD7">
        <w:rPr>
          <w:rFonts w:ascii="Times New Roman" w:hAnsi="Times New Roman" w:cs="Times New Roman"/>
          <w:b/>
          <w:sz w:val="24"/>
        </w:rPr>
        <w:t>2</w:t>
      </w:r>
      <w:r w:rsidR="00E82B15">
        <w:rPr>
          <w:rFonts w:ascii="Times New Roman" w:hAnsi="Times New Roman" w:cs="Times New Roman"/>
          <w:b/>
          <w:sz w:val="24"/>
        </w:rPr>
        <w:t xml:space="preserve">. </w:t>
      </w:r>
      <w:r w:rsidR="0024522B">
        <w:rPr>
          <w:rFonts w:ascii="Times New Roman" w:hAnsi="Times New Roman" w:cs="Times New Roman"/>
          <w:b/>
          <w:sz w:val="24"/>
        </w:rPr>
        <w:t>RYNEK NAWOZÓW MINERALNYCH W POLSCE:</w:t>
      </w:r>
    </w:p>
    <w:p w:rsidR="0024522B" w:rsidRDefault="00113BD7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24522B">
        <w:rPr>
          <w:rFonts w:ascii="Times New Roman" w:hAnsi="Times New Roman" w:cs="Times New Roman"/>
          <w:b/>
          <w:sz w:val="24"/>
        </w:rPr>
        <w:t>.</w:t>
      </w:r>
      <w:r w:rsidR="00E82B15">
        <w:rPr>
          <w:rFonts w:ascii="Times New Roman" w:hAnsi="Times New Roman" w:cs="Times New Roman"/>
          <w:b/>
          <w:sz w:val="24"/>
        </w:rPr>
        <w:t>1</w:t>
      </w:r>
      <w:r w:rsidR="0024522B">
        <w:rPr>
          <w:rFonts w:ascii="Times New Roman" w:hAnsi="Times New Roman" w:cs="Times New Roman"/>
          <w:b/>
          <w:sz w:val="24"/>
        </w:rPr>
        <w:t xml:space="preserve"> Zużycie nawozów mineralnych w Polsce.</w:t>
      </w:r>
    </w:p>
    <w:p w:rsidR="0024522B" w:rsidRDefault="0024522B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Zużycie nawozów mineralnych w 2011r wynosiło 1954,4 tys. ton i w stosunku do roku poprzedniego było wyższe o 9,9%. Wzrost zużycia odnotowano we wszystkich grupach nawozów: azotowych (N) o 6,2%, fosforowych (P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bscript"/>
        </w:rPr>
        <w:t>5</w:t>
      </w:r>
      <w:r>
        <w:rPr>
          <w:rFonts w:ascii="Times New Roman" w:hAnsi="Times New Roman" w:cs="Times New Roman"/>
          <w:sz w:val="24"/>
        </w:rPr>
        <w:t>) o 15,&amp;% i potasowych (K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O) o 14,5%.</w:t>
      </w:r>
    </w:p>
    <w:p w:rsidR="0024522B" w:rsidRDefault="0024522B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Według danych z Powszechnego Spisu Rolnego z 2010r wynika, że nawozy mineralne są stosowane w sposób bardzo zróżnicowany. Najbardziej popularne są nawozy azotowe, które stosuje 83% gospodarstw, głównie w postaci saletry amonowej, saletrzaku i mocznika. Nawozy wieloskładnikowe oraz postaci </w:t>
      </w:r>
      <w:proofErr w:type="spellStart"/>
      <w:r>
        <w:rPr>
          <w:rFonts w:ascii="Times New Roman" w:hAnsi="Times New Roman" w:cs="Times New Roman"/>
          <w:sz w:val="24"/>
        </w:rPr>
        <w:t>agrofoski</w:t>
      </w:r>
      <w:proofErr w:type="spellEnd"/>
      <w:r>
        <w:rPr>
          <w:rFonts w:ascii="Times New Roman" w:hAnsi="Times New Roman" w:cs="Times New Roman"/>
          <w:sz w:val="24"/>
        </w:rPr>
        <w:t xml:space="preserve">, superfosfatu </w:t>
      </w:r>
      <w:proofErr w:type="spellStart"/>
      <w:r>
        <w:rPr>
          <w:rFonts w:ascii="Times New Roman" w:hAnsi="Times New Roman" w:cs="Times New Roman"/>
          <w:sz w:val="24"/>
        </w:rPr>
        <w:t>polifoski</w:t>
      </w:r>
      <w:proofErr w:type="spellEnd"/>
      <w:r>
        <w:rPr>
          <w:rFonts w:ascii="Times New Roman" w:hAnsi="Times New Roman" w:cs="Times New Roman"/>
          <w:sz w:val="24"/>
        </w:rPr>
        <w:t xml:space="preserve"> i soli potasowej.</w:t>
      </w:r>
    </w:p>
    <w:p w:rsidR="0024522B" w:rsidRDefault="0024522B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Jednostkowe zużycie nawozów mineralnych pod zbiory 2011r wyniosło średnio 126,4kg NPK/ha UR i było o 10,2% wyższe w porównaniu z rokiem poprzednim, w tym w gospodarstwach indywidualnych zwiększyło się o 10,7% do 121,2kg NPK/ha UR.</w:t>
      </w:r>
    </w:p>
    <w:p w:rsidR="0024522B" w:rsidRDefault="0024522B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Dynamika wzrostu poszczególnych rodzajów nawozów mineralnych była zróżnicowana (tab.1). Zużycie nawozów azotowych wzrosło o 6,5% fosforowych o 15,8%, a potasowych o 14,8%. </w:t>
      </w:r>
    </w:p>
    <w:p w:rsidR="00AC5A8F" w:rsidRDefault="00AC5A8F" w:rsidP="00AC5A8F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Tabela 1</w:t>
      </w:r>
    </w:p>
    <w:p w:rsidR="00AC5A8F" w:rsidRDefault="00AC5A8F" w:rsidP="00AC5A8F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Zużycie nawozów mineralnych (w kg na 1 ha użytków rolnych)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AC5A8F" w:rsidTr="00BA0684">
        <w:tc>
          <w:tcPr>
            <w:tcW w:w="1666" w:type="pct"/>
            <w:vMerge w:val="restart"/>
            <w:vAlign w:val="center"/>
          </w:tcPr>
          <w:p w:rsidR="00AC5A8F" w:rsidRPr="00DB0C52" w:rsidRDefault="00AC5A8F" w:rsidP="00231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0C52">
              <w:rPr>
                <w:rFonts w:ascii="Times New Roman" w:hAnsi="Times New Roman" w:cs="Times New Roman"/>
                <w:b/>
                <w:sz w:val="20"/>
              </w:rPr>
              <w:t>Lata</w:t>
            </w:r>
          </w:p>
        </w:tc>
        <w:tc>
          <w:tcPr>
            <w:tcW w:w="1667" w:type="pct"/>
            <w:vAlign w:val="center"/>
          </w:tcPr>
          <w:p w:rsidR="00AC5A8F" w:rsidRPr="00DB0C52" w:rsidRDefault="00AC5A8F" w:rsidP="007862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0C52">
              <w:rPr>
                <w:rFonts w:ascii="Times New Roman" w:hAnsi="Times New Roman" w:cs="Times New Roman"/>
                <w:b/>
                <w:sz w:val="20"/>
              </w:rPr>
              <w:t>Ogółem</w:t>
            </w:r>
          </w:p>
        </w:tc>
        <w:tc>
          <w:tcPr>
            <w:tcW w:w="1667" w:type="pct"/>
            <w:vAlign w:val="center"/>
          </w:tcPr>
          <w:p w:rsidR="00AC5A8F" w:rsidRPr="00DB0C52" w:rsidRDefault="00AC5A8F" w:rsidP="007862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0C52">
              <w:rPr>
                <w:rFonts w:ascii="Times New Roman" w:hAnsi="Times New Roman" w:cs="Times New Roman"/>
                <w:b/>
                <w:sz w:val="20"/>
              </w:rPr>
              <w:t>Go</w:t>
            </w:r>
            <w:r w:rsidR="00DF0581" w:rsidRPr="00DB0C52">
              <w:rPr>
                <w:rFonts w:ascii="Times New Roman" w:hAnsi="Times New Roman" w:cs="Times New Roman"/>
                <w:b/>
                <w:sz w:val="20"/>
              </w:rPr>
              <w:t>spodarstwa indywidualne</w:t>
            </w:r>
          </w:p>
        </w:tc>
      </w:tr>
      <w:tr w:rsidR="00AC5A8F" w:rsidTr="00BA0684">
        <w:tc>
          <w:tcPr>
            <w:tcW w:w="1666" w:type="pct"/>
            <w:vMerge/>
            <w:vAlign w:val="center"/>
          </w:tcPr>
          <w:p w:rsidR="00AC5A8F" w:rsidRPr="00DB0C52" w:rsidRDefault="00AC5A8F" w:rsidP="00231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AC5A8F" w:rsidRPr="00DB0C52" w:rsidRDefault="00DF0581" w:rsidP="007862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0C52">
              <w:rPr>
                <w:rFonts w:ascii="Times New Roman" w:hAnsi="Times New Roman" w:cs="Times New Roman"/>
                <w:b/>
                <w:sz w:val="20"/>
              </w:rPr>
              <w:t>Razem NPK</w:t>
            </w:r>
          </w:p>
        </w:tc>
      </w:tr>
      <w:tr w:rsidR="00AC5A8F" w:rsidTr="00BA0684">
        <w:tc>
          <w:tcPr>
            <w:tcW w:w="1666" w:type="pct"/>
            <w:vAlign w:val="center"/>
          </w:tcPr>
          <w:p w:rsidR="00AC5A8F" w:rsidRPr="00DB0C52" w:rsidRDefault="00DF0581" w:rsidP="00231A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0C52">
              <w:rPr>
                <w:rFonts w:ascii="Times New Roman" w:hAnsi="Times New Roman" w:cs="Times New Roman"/>
                <w:sz w:val="20"/>
              </w:rPr>
              <w:t>2003/04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2004/05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2005/06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2006/07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2007/08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2008/09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2009/10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</w:r>
            <w:r w:rsidRPr="00DB0C52">
              <w:rPr>
                <w:rFonts w:ascii="Times New Roman" w:hAnsi="Times New Roman" w:cs="Times New Roman"/>
                <w:sz w:val="20"/>
              </w:rPr>
              <w:lastRenderedPageBreak/>
              <w:t>2010/2011</w:t>
            </w:r>
          </w:p>
        </w:tc>
        <w:tc>
          <w:tcPr>
            <w:tcW w:w="1667" w:type="pct"/>
            <w:vAlign w:val="center"/>
          </w:tcPr>
          <w:p w:rsidR="00AC5A8F" w:rsidRPr="00DB0C52" w:rsidRDefault="00DF0581" w:rsidP="00231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0C52">
              <w:rPr>
                <w:rFonts w:ascii="Times New Roman" w:hAnsi="Times New Roman" w:cs="Times New Roman"/>
                <w:b/>
                <w:sz w:val="20"/>
              </w:rPr>
              <w:lastRenderedPageBreak/>
              <w:t>99,3</w:t>
            </w:r>
            <w:r w:rsidRPr="00DB0C52">
              <w:rPr>
                <w:rFonts w:ascii="Times New Roman" w:hAnsi="Times New Roman" w:cs="Times New Roman"/>
                <w:b/>
                <w:sz w:val="20"/>
              </w:rPr>
              <w:br/>
              <w:t>102,4</w:t>
            </w:r>
            <w:r w:rsidRPr="00DB0C52">
              <w:rPr>
                <w:rFonts w:ascii="Times New Roman" w:hAnsi="Times New Roman" w:cs="Times New Roman"/>
                <w:b/>
                <w:sz w:val="20"/>
              </w:rPr>
              <w:br/>
              <w:t>123,3</w:t>
            </w:r>
            <w:r w:rsidRPr="00DB0C52">
              <w:rPr>
                <w:rFonts w:ascii="Times New Roman" w:hAnsi="Times New Roman" w:cs="Times New Roman"/>
                <w:b/>
                <w:sz w:val="20"/>
              </w:rPr>
              <w:br/>
              <w:t>121,8</w:t>
            </w:r>
            <w:r w:rsidRPr="00DB0C52">
              <w:rPr>
                <w:rFonts w:ascii="Times New Roman" w:hAnsi="Times New Roman" w:cs="Times New Roman"/>
                <w:b/>
                <w:sz w:val="20"/>
              </w:rPr>
              <w:br/>
              <w:t>132,6</w:t>
            </w:r>
            <w:r w:rsidRPr="00DB0C52">
              <w:rPr>
                <w:rFonts w:ascii="Times New Roman" w:hAnsi="Times New Roman" w:cs="Times New Roman"/>
                <w:b/>
                <w:sz w:val="20"/>
              </w:rPr>
              <w:br/>
              <w:t>117,9</w:t>
            </w:r>
            <w:r w:rsidRPr="00DB0C52">
              <w:rPr>
                <w:rFonts w:ascii="Times New Roman" w:hAnsi="Times New Roman" w:cs="Times New Roman"/>
                <w:b/>
                <w:sz w:val="20"/>
              </w:rPr>
              <w:br/>
              <w:t>114,7</w:t>
            </w:r>
            <w:r w:rsidRPr="00DB0C52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DB0C52">
              <w:rPr>
                <w:rFonts w:ascii="Times New Roman" w:hAnsi="Times New Roman" w:cs="Times New Roman"/>
                <w:b/>
                <w:sz w:val="20"/>
              </w:rPr>
              <w:lastRenderedPageBreak/>
              <w:t>126,4</w:t>
            </w:r>
          </w:p>
        </w:tc>
        <w:tc>
          <w:tcPr>
            <w:tcW w:w="1667" w:type="pct"/>
            <w:vAlign w:val="center"/>
          </w:tcPr>
          <w:p w:rsidR="00AC5A8F" w:rsidRPr="00DB0C52" w:rsidRDefault="00DF0581" w:rsidP="00231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0C52">
              <w:rPr>
                <w:rFonts w:ascii="Times New Roman" w:hAnsi="Times New Roman" w:cs="Times New Roman"/>
                <w:b/>
                <w:sz w:val="20"/>
              </w:rPr>
              <w:lastRenderedPageBreak/>
              <w:t>91,9</w:t>
            </w:r>
            <w:r w:rsidRPr="00DB0C52">
              <w:rPr>
                <w:rFonts w:ascii="Times New Roman" w:hAnsi="Times New Roman" w:cs="Times New Roman"/>
                <w:b/>
                <w:sz w:val="20"/>
              </w:rPr>
              <w:br/>
              <w:t>93,6</w:t>
            </w:r>
            <w:r w:rsidRPr="00DB0C52">
              <w:rPr>
                <w:rFonts w:ascii="Times New Roman" w:hAnsi="Times New Roman" w:cs="Times New Roman"/>
                <w:b/>
                <w:sz w:val="20"/>
              </w:rPr>
              <w:br/>
              <w:t>118,0</w:t>
            </w:r>
            <w:r w:rsidRPr="00DB0C52">
              <w:rPr>
                <w:rFonts w:ascii="Times New Roman" w:hAnsi="Times New Roman" w:cs="Times New Roman"/>
                <w:b/>
                <w:sz w:val="20"/>
              </w:rPr>
              <w:br/>
              <w:t>117,4</w:t>
            </w:r>
            <w:r w:rsidRPr="00DB0C52">
              <w:rPr>
                <w:rFonts w:ascii="Times New Roman" w:hAnsi="Times New Roman" w:cs="Times New Roman"/>
                <w:b/>
                <w:sz w:val="20"/>
              </w:rPr>
              <w:br/>
              <w:t>128,6</w:t>
            </w:r>
            <w:r w:rsidRPr="00DB0C52">
              <w:rPr>
                <w:rFonts w:ascii="Times New Roman" w:hAnsi="Times New Roman" w:cs="Times New Roman"/>
                <w:b/>
                <w:sz w:val="20"/>
              </w:rPr>
              <w:br/>
              <w:t>114,0</w:t>
            </w:r>
            <w:r w:rsidRPr="00DB0C52">
              <w:rPr>
                <w:rFonts w:ascii="Times New Roman" w:hAnsi="Times New Roman" w:cs="Times New Roman"/>
                <w:b/>
                <w:sz w:val="20"/>
              </w:rPr>
              <w:br/>
              <w:t>109,5</w:t>
            </w:r>
            <w:r w:rsidRPr="00DB0C52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DB0C52">
              <w:rPr>
                <w:rFonts w:ascii="Times New Roman" w:hAnsi="Times New Roman" w:cs="Times New Roman"/>
                <w:b/>
                <w:sz w:val="20"/>
              </w:rPr>
              <w:lastRenderedPageBreak/>
              <w:t>121,2</w:t>
            </w:r>
          </w:p>
        </w:tc>
      </w:tr>
      <w:tr w:rsidR="00AC5A8F" w:rsidTr="00BA0684">
        <w:tc>
          <w:tcPr>
            <w:tcW w:w="5000" w:type="pct"/>
            <w:gridSpan w:val="3"/>
            <w:vAlign w:val="center"/>
          </w:tcPr>
          <w:p w:rsidR="00AC5A8F" w:rsidRPr="00DB0C52" w:rsidRDefault="00DF0581" w:rsidP="00231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0C52">
              <w:rPr>
                <w:rFonts w:ascii="Times New Roman" w:hAnsi="Times New Roman" w:cs="Times New Roman"/>
                <w:b/>
                <w:sz w:val="20"/>
              </w:rPr>
              <w:lastRenderedPageBreak/>
              <w:t>Azotowe</w:t>
            </w:r>
          </w:p>
        </w:tc>
      </w:tr>
      <w:tr w:rsidR="00AC5A8F" w:rsidTr="00BA0684">
        <w:tc>
          <w:tcPr>
            <w:tcW w:w="1666" w:type="pct"/>
            <w:vAlign w:val="center"/>
          </w:tcPr>
          <w:p w:rsidR="00AC5A8F" w:rsidRPr="00DB0C52" w:rsidRDefault="00DF0581" w:rsidP="00231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0C52">
              <w:rPr>
                <w:rFonts w:ascii="Times New Roman" w:hAnsi="Times New Roman" w:cs="Times New Roman"/>
                <w:sz w:val="20"/>
              </w:rPr>
              <w:t>2003/04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2004/05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2005/06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2006/07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2007/08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2008/09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2009/10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2010/2011</w:t>
            </w:r>
          </w:p>
        </w:tc>
        <w:tc>
          <w:tcPr>
            <w:tcW w:w="1667" w:type="pct"/>
            <w:vAlign w:val="center"/>
          </w:tcPr>
          <w:p w:rsidR="00AC5A8F" w:rsidRPr="00DB0C52" w:rsidRDefault="00AF3862" w:rsidP="00231A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0C52">
              <w:rPr>
                <w:rFonts w:ascii="Times New Roman" w:hAnsi="Times New Roman" w:cs="Times New Roman"/>
                <w:sz w:val="20"/>
              </w:rPr>
              <w:t>54,8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56,3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62,5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65,3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70,7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68,0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66,3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70,6</w:t>
            </w:r>
          </w:p>
        </w:tc>
        <w:tc>
          <w:tcPr>
            <w:tcW w:w="1667" w:type="pct"/>
            <w:vAlign w:val="center"/>
          </w:tcPr>
          <w:p w:rsidR="00AC5A8F" w:rsidRPr="00DB0C52" w:rsidRDefault="00AF3862" w:rsidP="00231A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0C52">
              <w:rPr>
                <w:rFonts w:ascii="Times New Roman" w:hAnsi="Times New Roman" w:cs="Times New Roman"/>
                <w:sz w:val="20"/>
              </w:rPr>
              <w:t>50,5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51,3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58,6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62,4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67,9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64,8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63,4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66,8</w:t>
            </w:r>
          </w:p>
        </w:tc>
      </w:tr>
      <w:tr w:rsidR="00AC5A8F" w:rsidTr="00BA0684">
        <w:tc>
          <w:tcPr>
            <w:tcW w:w="5000" w:type="pct"/>
            <w:gridSpan w:val="3"/>
            <w:vAlign w:val="center"/>
          </w:tcPr>
          <w:p w:rsidR="00AC5A8F" w:rsidRPr="00DB0C52" w:rsidRDefault="00AF3862" w:rsidP="00231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0C52">
              <w:rPr>
                <w:rFonts w:ascii="Times New Roman" w:hAnsi="Times New Roman" w:cs="Times New Roman"/>
                <w:b/>
                <w:sz w:val="20"/>
              </w:rPr>
              <w:t>Fosforowe</w:t>
            </w:r>
          </w:p>
        </w:tc>
      </w:tr>
      <w:tr w:rsidR="00AC5A8F" w:rsidTr="00BA0684">
        <w:tc>
          <w:tcPr>
            <w:tcW w:w="1666" w:type="pct"/>
            <w:vAlign w:val="center"/>
          </w:tcPr>
          <w:p w:rsidR="00AC5A8F" w:rsidRPr="00DB0C52" w:rsidRDefault="00AF3862" w:rsidP="00231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0C52">
              <w:rPr>
                <w:rFonts w:ascii="Times New Roman" w:hAnsi="Times New Roman" w:cs="Times New Roman"/>
                <w:sz w:val="20"/>
              </w:rPr>
              <w:t>2003/04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2004/05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2005/06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2006/07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2007/08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2008/09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2009/10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2010/2011</w:t>
            </w:r>
          </w:p>
        </w:tc>
        <w:tc>
          <w:tcPr>
            <w:tcW w:w="1667" w:type="pct"/>
            <w:vAlign w:val="center"/>
          </w:tcPr>
          <w:p w:rsidR="00AC5A8F" w:rsidRPr="00DB0C52" w:rsidRDefault="00AF3862" w:rsidP="00231A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0C52">
              <w:rPr>
                <w:rFonts w:ascii="Times New Roman" w:hAnsi="Times New Roman" w:cs="Times New Roman"/>
                <w:sz w:val="20"/>
              </w:rPr>
              <w:t>19,7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20,4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27,7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25,5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28,6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23,3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22,8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26,4</w:t>
            </w:r>
          </w:p>
        </w:tc>
        <w:tc>
          <w:tcPr>
            <w:tcW w:w="1667" w:type="pct"/>
            <w:vAlign w:val="center"/>
          </w:tcPr>
          <w:p w:rsidR="00AC5A8F" w:rsidRPr="00DB0C52" w:rsidRDefault="00AF3862" w:rsidP="00231A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0C52">
              <w:rPr>
                <w:rFonts w:ascii="Times New Roman" w:hAnsi="Times New Roman" w:cs="Times New Roman"/>
                <w:sz w:val="20"/>
              </w:rPr>
              <w:t>19,0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19,4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27,8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25,2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28,6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23,5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22,1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26,2</w:t>
            </w:r>
          </w:p>
        </w:tc>
      </w:tr>
      <w:tr w:rsidR="00AC5A8F" w:rsidTr="00BA0684">
        <w:tc>
          <w:tcPr>
            <w:tcW w:w="5000" w:type="pct"/>
            <w:gridSpan w:val="3"/>
            <w:vAlign w:val="center"/>
          </w:tcPr>
          <w:p w:rsidR="00AC5A8F" w:rsidRPr="00DB0C52" w:rsidRDefault="00AF3862" w:rsidP="00231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0C52">
              <w:rPr>
                <w:rFonts w:ascii="Times New Roman" w:hAnsi="Times New Roman" w:cs="Times New Roman"/>
                <w:b/>
                <w:sz w:val="20"/>
              </w:rPr>
              <w:t>Potasowe</w:t>
            </w:r>
          </w:p>
        </w:tc>
      </w:tr>
      <w:tr w:rsidR="00AC5A8F" w:rsidTr="00BA0684">
        <w:tc>
          <w:tcPr>
            <w:tcW w:w="1666" w:type="pct"/>
            <w:vAlign w:val="center"/>
          </w:tcPr>
          <w:p w:rsidR="00AC5A8F" w:rsidRPr="00DB0C52" w:rsidRDefault="00AF3862" w:rsidP="00231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0C52">
              <w:rPr>
                <w:rFonts w:ascii="Times New Roman" w:hAnsi="Times New Roman" w:cs="Times New Roman"/>
                <w:sz w:val="20"/>
              </w:rPr>
              <w:t>2003/04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2004/05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2005/06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2006/07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2007/08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2008/09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2009/10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2010/2011</w:t>
            </w:r>
          </w:p>
        </w:tc>
        <w:tc>
          <w:tcPr>
            <w:tcW w:w="1667" w:type="pct"/>
            <w:vAlign w:val="center"/>
          </w:tcPr>
          <w:p w:rsidR="00AC5A8F" w:rsidRPr="00DB0C52" w:rsidRDefault="00AF3862" w:rsidP="00231A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0C52">
              <w:rPr>
                <w:rFonts w:ascii="Times New Roman" w:hAnsi="Times New Roman" w:cs="Times New Roman"/>
                <w:sz w:val="20"/>
              </w:rPr>
              <w:t>24,8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25,7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33,1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31,1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33,3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26,6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25,6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29,4</w:t>
            </w:r>
          </w:p>
        </w:tc>
        <w:tc>
          <w:tcPr>
            <w:tcW w:w="1667" w:type="pct"/>
            <w:vAlign w:val="center"/>
          </w:tcPr>
          <w:p w:rsidR="00AC5A8F" w:rsidRPr="00DB0C52" w:rsidRDefault="00AF3862" w:rsidP="00231A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0C52">
              <w:rPr>
                <w:rFonts w:ascii="Times New Roman" w:hAnsi="Times New Roman" w:cs="Times New Roman"/>
                <w:sz w:val="20"/>
              </w:rPr>
              <w:t>22,4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22,9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31,6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29,8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32,1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25,7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24,0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28,2</w:t>
            </w:r>
          </w:p>
        </w:tc>
      </w:tr>
      <w:tr w:rsidR="00AC5A8F" w:rsidTr="00BA0684">
        <w:tc>
          <w:tcPr>
            <w:tcW w:w="5000" w:type="pct"/>
            <w:gridSpan w:val="3"/>
            <w:vAlign w:val="center"/>
          </w:tcPr>
          <w:p w:rsidR="00AC5A8F" w:rsidRPr="00DB0C52" w:rsidRDefault="00AF3862" w:rsidP="00231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0C52">
              <w:rPr>
                <w:rFonts w:ascii="Times New Roman" w:hAnsi="Times New Roman" w:cs="Times New Roman"/>
                <w:b/>
                <w:sz w:val="20"/>
              </w:rPr>
              <w:t>Wapniowe</w:t>
            </w:r>
          </w:p>
        </w:tc>
      </w:tr>
      <w:tr w:rsidR="00AC5A8F" w:rsidTr="00BA0684">
        <w:tc>
          <w:tcPr>
            <w:tcW w:w="1666" w:type="pct"/>
            <w:vAlign w:val="center"/>
          </w:tcPr>
          <w:p w:rsidR="00AC5A8F" w:rsidRPr="00DB0C52" w:rsidRDefault="00AF3862" w:rsidP="00231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0C52">
              <w:rPr>
                <w:rFonts w:ascii="Times New Roman" w:hAnsi="Times New Roman" w:cs="Times New Roman"/>
                <w:sz w:val="20"/>
              </w:rPr>
              <w:t>2003/04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2004/05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2005/06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2006/07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2007/08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2008/09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2009/10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2010/2011</w:t>
            </w:r>
          </w:p>
        </w:tc>
        <w:tc>
          <w:tcPr>
            <w:tcW w:w="1667" w:type="pct"/>
            <w:vAlign w:val="center"/>
          </w:tcPr>
          <w:p w:rsidR="00AC5A8F" w:rsidRPr="00DB0C52" w:rsidRDefault="00AF3862" w:rsidP="00231A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0C52">
              <w:rPr>
                <w:rFonts w:ascii="Times New Roman" w:hAnsi="Times New Roman" w:cs="Times New Roman"/>
                <w:sz w:val="20"/>
              </w:rPr>
              <w:t>93,5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91,5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54,8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37,4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38,5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32,9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38,1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36,8</w:t>
            </w:r>
          </w:p>
        </w:tc>
        <w:tc>
          <w:tcPr>
            <w:tcW w:w="1667" w:type="pct"/>
            <w:vAlign w:val="center"/>
          </w:tcPr>
          <w:p w:rsidR="00AC5A8F" w:rsidRPr="00DB0C52" w:rsidRDefault="00AF3862" w:rsidP="00231A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0C52">
              <w:rPr>
                <w:rFonts w:ascii="Times New Roman" w:hAnsi="Times New Roman" w:cs="Times New Roman"/>
                <w:sz w:val="20"/>
              </w:rPr>
              <w:t>85,1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86,1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46,9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30,1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29,0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23,3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32,7</w:t>
            </w:r>
            <w:r w:rsidRPr="00DB0C52">
              <w:rPr>
                <w:rFonts w:ascii="Times New Roman" w:hAnsi="Times New Roman" w:cs="Times New Roman"/>
                <w:sz w:val="20"/>
              </w:rPr>
              <w:br/>
              <w:t>30,5</w:t>
            </w:r>
          </w:p>
        </w:tc>
      </w:tr>
    </w:tbl>
    <w:p w:rsidR="002A3796" w:rsidRDefault="00852199" w:rsidP="00DA00C1">
      <w:pPr>
        <w:spacing w:line="36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* dane wstępne</w:t>
      </w:r>
      <w:r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i/>
          <w:sz w:val="20"/>
        </w:rPr>
        <w:t>Źródło: Dane GUS</w:t>
      </w:r>
    </w:p>
    <w:p w:rsidR="00F75AE7" w:rsidRDefault="00F75AE7" w:rsidP="00DA00C1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br/>
        <w:t>Rys. 1</w:t>
      </w:r>
      <w:r w:rsidR="00DA00C1">
        <w:rPr>
          <w:rFonts w:ascii="Times New Roman" w:hAnsi="Times New Roman" w:cs="Times New Roman"/>
          <w:sz w:val="24"/>
        </w:rPr>
        <w:br/>
      </w:r>
      <w:r w:rsidR="00DA00C1">
        <w:rPr>
          <w:noProof/>
          <w:lang w:eastAsia="pl-PL"/>
        </w:rPr>
        <w:drawing>
          <wp:inline distT="0" distB="0" distL="0" distR="0" wp14:anchorId="39BFCB38" wp14:editId="0DE3F338">
            <wp:extent cx="5754414" cy="2979682"/>
            <wp:effectExtent l="0" t="0" r="17780" b="1143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765C" w:rsidRDefault="00DA00C1" w:rsidP="00DA00C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6D27EF">
        <w:rPr>
          <w:rFonts w:ascii="Times New Roman" w:hAnsi="Times New Roman" w:cs="Times New Roman"/>
          <w:sz w:val="24"/>
        </w:rPr>
        <w:tab/>
        <w:t>Utrzymało się w dalszym ciągu duże zróżnicowanie poziomu nawożenia między województwami od 232,4kg NPK/ha w woj. opolskim do 67,7kg w woj. podkarpackim. Podobnie jak przed rokiem w 12 województwach poziom nawożenia wyniósł powyżej 100kg NPK/ha. W grupie 4 województw (podlaskie, świętokrzyskie, małopolskie i podkarpackie) charakteryzujących się najniższym poziomem nawożenia ich zużycie wzrosło o ponad 10%. Województwo podlaskie i świętokrzyskie są bliskie przekroczenia średniego europejskiego poziomu nawożenia wynoszącego 100kg NPK/ha UR. Wysokie nawożenie azotowe w przedziale od 66 do 129kg/ha UR występuje w 9 województwach i dodatnio koreluje z wysokimi plonami zbóż. W tych województwach średnie plon</w:t>
      </w:r>
      <w:r w:rsidR="00F75AE7">
        <w:rPr>
          <w:rFonts w:ascii="Times New Roman" w:hAnsi="Times New Roman" w:cs="Times New Roman"/>
          <w:sz w:val="24"/>
        </w:rPr>
        <w:t>y pszenicy przekraczają 40dt/ha.</w:t>
      </w:r>
    </w:p>
    <w:p w:rsidR="007744DD" w:rsidRDefault="007744DD" w:rsidP="00DA00C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744DD" w:rsidRDefault="007744DD" w:rsidP="00DA00C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744DD" w:rsidRDefault="007744DD" w:rsidP="00DA00C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744DD" w:rsidRDefault="007744DD" w:rsidP="00DA00C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744DD" w:rsidRDefault="007744DD" w:rsidP="00DA00C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744DD" w:rsidRDefault="007744DD" w:rsidP="00DA00C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744DD" w:rsidRDefault="007744DD" w:rsidP="00DA00C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744DD" w:rsidRDefault="007744DD" w:rsidP="00DA00C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75AE7" w:rsidRDefault="00F75AE7" w:rsidP="00DA00C1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Rys. 2</w:t>
      </w:r>
    </w:p>
    <w:p w:rsidR="00F75AE7" w:rsidRDefault="00F75AE7" w:rsidP="00F75AE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Zużycie NPK wg województw w 2010/2011r</w:t>
      </w:r>
    </w:p>
    <w:p w:rsidR="001D3D46" w:rsidRDefault="001D3D46" w:rsidP="00F75AE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 wp14:anchorId="02DF9031" wp14:editId="55AB5F19">
            <wp:extent cx="2838846" cy="2848373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763"/>
      </w:tblGrid>
      <w:tr w:rsidR="001D3D46" w:rsidTr="001D3D46">
        <w:tc>
          <w:tcPr>
            <w:tcW w:w="2297" w:type="dxa"/>
            <w:gridSpan w:val="2"/>
          </w:tcPr>
          <w:p w:rsidR="001D3D46" w:rsidRDefault="001D3D46" w:rsidP="001D3D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NPK w kg/1 ha UR</w:t>
            </w:r>
          </w:p>
        </w:tc>
      </w:tr>
      <w:tr w:rsidR="001D3D46" w:rsidTr="001D3D46">
        <w:tc>
          <w:tcPr>
            <w:tcW w:w="534" w:type="dxa"/>
          </w:tcPr>
          <w:p w:rsidR="001D3D46" w:rsidRDefault="001D3D46" w:rsidP="001D3D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3" w:type="dxa"/>
          </w:tcPr>
          <w:p w:rsidR="001D3D46" w:rsidRDefault="001D3D46" w:rsidP="001D3D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65 – 100 </w:t>
            </w:r>
          </w:p>
        </w:tc>
      </w:tr>
      <w:tr w:rsidR="001D3D46" w:rsidTr="001D3D46">
        <w:tc>
          <w:tcPr>
            <w:tcW w:w="534" w:type="dxa"/>
          </w:tcPr>
          <w:p w:rsidR="001D3D46" w:rsidRDefault="001D3D46" w:rsidP="001D3D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282808" wp14:editId="35947C3F">
                      <wp:simplePos x="0" y="0"/>
                      <wp:positionH relativeFrom="column">
                        <wp:posOffset>-49189</wp:posOffset>
                      </wp:positionH>
                      <wp:positionV relativeFrom="paragraph">
                        <wp:posOffset>252390</wp:posOffset>
                      </wp:positionV>
                      <wp:extent cx="297179" cy="265430"/>
                      <wp:effectExtent l="19050" t="19050" r="27305" b="20320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79" cy="26543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6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19.85pt" to="19.5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" strokecolor="#5f497a [2407]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6F3F5A" wp14:editId="72DE179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3810</wp:posOffset>
                      </wp:positionV>
                      <wp:extent cx="297180" cy="244475"/>
                      <wp:effectExtent l="19050" t="19050" r="26670" b="2222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" cy="2444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.3pt" to="19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" strokecolor="#e36c0a [2409]" strokeweight="2.25pt"/>
                  </w:pict>
                </mc:Fallback>
              </mc:AlternateContent>
            </w:r>
          </w:p>
        </w:tc>
        <w:tc>
          <w:tcPr>
            <w:tcW w:w="1763" w:type="dxa"/>
          </w:tcPr>
          <w:p w:rsidR="001D3D46" w:rsidRDefault="001D3D46" w:rsidP="001D3D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101 – 134</w:t>
            </w:r>
          </w:p>
        </w:tc>
      </w:tr>
      <w:tr w:rsidR="001D3D46" w:rsidTr="001D3D46">
        <w:tc>
          <w:tcPr>
            <w:tcW w:w="534" w:type="dxa"/>
          </w:tcPr>
          <w:p w:rsidR="001D3D46" w:rsidRDefault="001D3D46" w:rsidP="001D3D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3" w:type="dxa"/>
          </w:tcPr>
          <w:p w:rsidR="001D3D46" w:rsidRDefault="001D3D46" w:rsidP="001D3D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135 i więcej</w:t>
            </w:r>
          </w:p>
        </w:tc>
      </w:tr>
    </w:tbl>
    <w:p w:rsidR="00DA00C1" w:rsidRDefault="00DA00C1" w:rsidP="004E6929">
      <w:pPr>
        <w:spacing w:line="360" w:lineRule="auto"/>
        <w:rPr>
          <w:rFonts w:ascii="Times New Roman" w:hAnsi="Times New Roman" w:cs="Times New Roman"/>
          <w:sz w:val="24"/>
        </w:rPr>
      </w:pPr>
    </w:p>
    <w:p w:rsidR="00CA02A3" w:rsidRDefault="00CA02A3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Tabela 2</w:t>
      </w:r>
    </w:p>
    <w:p w:rsidR="00CA02A3" w:rsidRDefault="00CA02A3" w:rsidP="00CA02A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A02A3">
        <w:rPr>
          <w:rFonts w:ascii="Times New Roman" w:hAnsi="Times New Roman" w:cs="Times New Roman"/>
          <w:b/>
          <w:sz w:val="24"/>
        </w:rPr>
        <w:t>Poziom nawożenia i plony zbóż w 2011r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1959"/>
        <w:gridCol w:w="1959"/>
        <w:gridCol w:w="1851"/>
        <w:gridCol w:w="1276"/>
      </w:tblGrid>
      <w:tr w:rsidR="00CA02A3" w:rsidRPr="00CA02A3" w:rsidTr="002A3796">
        <w:trPr>
          <w:trHeight w:val="300"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Województwa</w:t>
            </w:r>
          </w:p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NPK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A0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CaO</w:t>
            </w:r>
            <w:proofErr w:type="spellEnd"/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Zboża ogółem *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Pszenica *</w:t>
            </w:r>
          </w:p>
        </w:tc>
      </w:tr>
      <w:tr w:rsidR="00CA02A3" w:rsidRPr="00CA02A3" w:rsidTr="002A3796">
        <w:trPr>
          <w:trHeight w:val="300"/>
        </w:trPr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kg na 1 ha UR w dobrej kulturze</w:t>
            </w:r>
          </w:p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plony </w:t>
            </w:r>
            <w:proofErr w:type="spellStart"/>
            <w:r w:rsidRPr="00CA0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dt</w:t>
            </w:r>
            <w:proofErr w:type="spellEnd"/>
            <w:r w:rsidRPr="00CA0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/ha</w:t>
            </w:r>
          </w:p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A02A3" w:rsidRPr="00CA02A3" w:rsidTr="002A3796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Polska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132,2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38,4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32,9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41,3</w:t>
            </w:r>
          </w:p>
        </w:tc>
      </w:tr>
      <w:tr w:rsidR="00CA02A3" w:rsidRPr="00CA02A3" w:rsidTr="002A3796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232,4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104,8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58,1</w:t>
            </w:r>
          </w:p>
        </w:tc>
      </w:tr>
      <w:tr w:rsidR="00CA02A3" w:rsidRPr="00CA02A3" w:rsidTr="002A3796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174,1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41,3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41,1</w:t>
            </w:r>
          </w:p>
        </w:tc>
      </w:tr>
      <w:tr w:rsidR="00CA02A3" w:rsidRPr="00CA02A3" w:rsidTr="002A3796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171,6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61,5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43,4</w:t>
            </w:r>
          </w:p>
        </w:tc>
      </w:tr>
      <w:tr w:rsidR="00CA02A3" w:rsidRPr="00CA02A3" w:rsidTr="002A3796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58,2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48,1</w:t>
            </w:r>
          </w:p>
        </w:tc>
      </w:tr>
      <w:tr w:rsidR="00CA02A3" w:rsidRPr="00CA02A3" w:rsidTr="002A3796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141,4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49,8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48,1</w:t>
            </w:r>
          </w:p>
        </w:tc>
      </w:tr>
      <w:tr w:rsidR="00CA02A3" w:rsidRPr="00CA02A3" w:rsidTr="002A3796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29,8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38,6</w:t>
            </w:r>
          </w:p>
        </w:tc>
      </w:tr>
      <w:tr w:rsidR="00CA02A3" w:rsidRPr="00CA02A3" w:rsidTr="002A3796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135,5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63,2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41,9</w:t>
            </w:r>
          </w:p>
        </w:tc>
      </w:tr>
      <w:tr w:rsidR="00CA02A3" w:rsidRPr="00CA02A3" w:rsidTr="002A3796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131,8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32,4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42,2</w:t>
            </w:r>
          </w:p>
        </w:tc>
      </w:tr>
      <w:tr w:rsidR="00CA02A3" w:rsidRPr="00CA02A3" w:rsidTr="002A3796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122,4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CA02A3" w:rsidRPr="00CA02A3" w:rsidTr="002A3796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121,4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33,4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34,1</w:t>
            </w:r>
          </w:p>
        </w:tc>
      </w:tr>
      <w:tr w:rsidR="00CA02A3" w:rsidRPr="00CA02A3" w:rsidTr="002A3796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118,3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41,3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36,2</w:t>
            </w:r>
          </w:p>
        </w:tc>
      </w:tr>
      <w:tr w:rsidR="00CA02A3" w:rsidRPr="00CA02A3" w:rsidTr="002A3796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104,5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32,2</w:t>
            </w:r>
          </w:p>
        </w:tc>
      </w:tr>
      <w:tr w:rsidR="00CA02A3" w:rsidRPr="00CA02A3" w:rsidTr="002A3796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97,4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14,8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30,4</w:t>
            </w:r>
          </w:p>
        </w:tc>
      </w:tr>
      <w:tr w:rsidR="00CA02A3" w:rsidRPr="00CA02A3" w:rsidTr="002A3796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96,7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31,3</w:t>
            </w:r>
          </w:p>
        </w:tc>
      </w:tr>
      <w:tr w:rsidR="00CA02A3" w:rsidRPr="00CA02A3" w:rsidTr="002A3796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Małopolskie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13,7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35,2</w:t>
            </w:r>
          </w:p>
        </w:tc>
      </w:tr>
      <w:tr w:rsidR="00CA02A3" w:rsidRPr="00CA02A3" w:rsidTr="002A3796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67,7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14,6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32,9</w:t>
            </w:r>
          </w:p>
        </w:tc>
      </w:tr>
    </w:tbl>
    <w:p w:rsidR="00CA02A3" w:rsidRPr="00CA02A3" w:rsidRDefault="00CA02A3" w:rsidP="00CA02A3">
      <w:pPr>
        <w:spacing w:line="360" w:lineRule="auto"/>
        <w:rPr>
          <w:rFonts w:ascii="Times New Roman" w:hAnsi="Times New Roman" w:cs="Times New Roman"/>
          <w:i/>
          <w:sz w:val="20"/>
        </w:rPr>
      </w:pPr>
      <w:r w:rsidRPr="00CA02A3">
        <w:rPr>
          <w:rFonts w:ascii="Times New Roman" w:hAnsi="Times New Roman" w:cs="Times New Roman"/>
          <w:sz w:val="20"/>
        </w:rPr>
        <w:t>* szacunek wynikowy</w:t>
      </w:r>
      <w:r>
        <w:rPr>
          <w:rFonts w:ascii="Times New Roman" w:hAnsi="Times New Roman" w:cs="Times New Roman"/>
          <w:sz w:val="20"/>
        </w:rPr>
        <w:br/>
      </w:r>
      <w:r w:rsidRPr="00CA02A3">
        <w:rPr>
          <w:rFonts w:ascii="Times New Roman" w:hAnsi="Times New Roman" w:cs="Times New Roman"/>
          <w:i/>
          <w:sz w:val="20"/>
        </w:rPr>
        <w:t>Źródło: Dane GUS</w:t>
      </w:r>
    </w:p>
    <w:p w:rsidR="00B0765C" w:rsidRDefault="00113BD7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E82B15">
        <w:rPr>
          <w:rFonts w:ascii="Times New Roman" w:hAnsi="Times New Roman" w:cs="Times New Roman"/>
          <w:b/>
          <w:sz w:val="24"/>
        </w:rPr>
        <w:t>.2</w:t>
      </w:r>
      <w:r w:rsidR="00B0765C">
        <w:rPr>
          <w:rFonts w:ascii="Times New Roman" w:hAnsi="Times New Roman" w:cs="Times New Roman"/>
          <w:b/>
          <w:sz w:val="24"/>
        </w:rPr>
        <w:t xml:space="preserve"> Ceny i relacje.</w:t>
      </w:r>
    </w:p>
    <w:p w:rsidR="006D27EF" w:rsidRDefault="00B0765C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D27EF">
        <w:rPr>
          <w:rFonts w:ascii="Times New Roman" w:hAnsi="Times New Roman" w:cs="Times New Roman"/>
          <w:sz w:val="24"/>
        </w:rPr>
        <w:t xml:space="preserve"> </w:t>
      </w:r>
      <w:r w:rsidR="009B1866">
        <w:rPr>
          <w:rFonts w:ascii="Times New Roman" w:hAnsi="Times New Roman" w:cs="Times New Roman"/>
          <w:sz w:val="24"/>
        </w:rPr>
        <w:t xml:space="preserve">Po ponad rocznym występowaniu </w:t>
      </w:r>
      <w:r w:rsidR="0079397B">
        <w:rPr>
          <w:rFonts w:ascii="Times New Roman" w:hAnsi="Times New Roman" w:cs="Times New Roman"/>
          <w:sz w:val="24"/>
        </w:rPr>
        <w:t>tendencji spadkowej, od września 2010r ceny nawozów mineralnych znów zaczęły rosnąć z coraz większą dynamiką. Wzrost cen nawozów mineralnych</w:t>
      </w:r>
      <w:r w:rsidR="001C1BF2">
        <w:rPr>
          <w:rFonts w:ascii="Times New Roman" w:hAnsi="Times New Roman" w:cs="Times New Roman"/>
          <w:sz w:val="24"/>
        </w:rPr>
        <w:t xml:space="preserve"> w 2011r wyniósł średnio 19,6%, wobec spadku o 10,6% w 2010r i był znacznie większy od wskaźnika inflacji (4,3%). Największy był wzrost cen nawozów azotowych o 28,7%, przy niższym wzroście cen nawozów fosforowych o 7,4% i potasowych o ponad 3%. Nawozy wapniowe w stosunku do roku ubiegłego podrożały o 5,6%.</w:t>
      </w:r>
    </w:p>
    <w:p w:rsidR="00B66AFF" w:rsidRDefault="001C1BF2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 grudniu 2011r w porównaniu z grudniem 2010r średni wzrost cen nawozów mineralnych wyniósł 19,4%, a w przypadku nawozów wapniowych nastąpił spadek cen o 7,6%. Zmiany cen poszczególnych nawozów były bardzo zróżnicowane (tab. 3 i 4). </w:t>
      </w:r>
      <w:r w:rsidR="00B66AFF">
        <w:rPr>
          <w:rFonts w:ascii="Times New Roman" w:hAnsi="Times New Roman" w:cs="Times New Roman"/>
          <w:sz w:val="24"/>
        </w:rPr>
        <w:t xml:space="preserve">Szczególnie silny wzrost cen nawozów azotowych o 28,6%, w tym najbardziej saletrzaku o 31,9% i saletry amonowej o 30,9%. Znacząco wzrosły też ceny nawozów wieloskładnikowych o 17,5%, w tym: fosforan amonu o 17,6%, </w:t>
      </w:r>
      <w:proofErr w:type="spellStart"/>
      <w:r w:rsidR="00B66AFF">
        <w:rPr>
          <w:rFonts w:ascii="Times New Roman" w:hAnsi="Times New Roman" w:cs="Times New Roman"/>
          <w:sz w:val="24"/>
        </w:rPr>
        <w:t>polifoksa</w:t>
      </w:r>
      <w:proofErr w:type="spellEnd"/>
      <w:r w:rsidR="00B66AFF">
        <w:rPr>
          <w:rFonts w:ascii="Times New Roman" w:hAnsi="Times New Roman" w:cs="Times New Roman"/>
          <w:sz w:val="24"/>
        </w:rPr>
        <w:t xml:space="preserve"> o 17,3%. Cena soli potasowej w tym okresie zwiększyła się o 15,2%. Wolniej rosły ceny nawozów fosforowych o 9,6%. Duży wzrost cen nawozów mineralnych wynika przede wszystkim ze zwiększonego popytu rynku krajowego w warunkach poprawy opłacalności produkcji zbóż i roślin oleistych, a także dynamicznego wzrostu cen surowców do produkcji nawozów mineralnych oraz nośników energii. W kierunku podwyżek cen kraju oddziaływał dodatkowo spadek wartości złotego.</w:t>
      </w:r>
    </w:p>
    <w:p w:rsidR="00CA02A3" w:rsidRDefault="00CA02A3" w:rsidP="00CA02A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Tabela 3</w:t>
      </w:r>
    </w:p>
    <w:p w:rsidR="00CA02A3" w:rsidRDefault="00CA02A3" w:rsidP="00CA02A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Ceny detaliczne nawozów mineralnych nabywanych przez rolników w latach 2003-2004 (w zł za 100kg)</w:t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541"/>
        <w:gridCol w:w="593"/>
        <w:gridCol w:w="600"/>
        <w:gridCol w:w="540"/>
        <w:gridCol w:w="593"/>
        <w:gridCol w:w="593"/>
        <w:gridCol w:w="593"/>
        <w:gridCol w:w="593"/>
        <w:gridCol w:w="593"/>
      </w:tblGrid>
      <w:tr w:rsidR="00CA02A3" w:rsidRPr="007178AB" w:rsidTr="002A3796">
        <w:trPr>
          <w:trHeight w:val="300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Wyszczególnienie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2011</w:t>
            </w:r>
          </w:p>
        </w:tc>
      </w:tr>
      <w:tr w:rsidR="00CA02A3" w:rsidRPr="007178AB" w:rsidTr="002A3796">
        <w:trPr>
          <w:trHeight w:val="30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XII</w:t>
            </w:r>
          </w:p>
        </w:tc>
      </w:tr>
      <w:tr w:rsidR="00CA02A3" w:rsidRPr="007178AB" w:rsidTr="002A379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7178AB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Saletrzak 28% (N)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67,48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129,9</w:t>
            </w:r>
          </w:p>
        </w:tc>
      </w:tr>
      <w:tr w:rsidR="00CA02A3" w:rsidRPr="007178AB" w:rsidTr="002A379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7178AB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Saletra amonowa 33-34,5% (N)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74,36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</w:tr>
      <w:tr w:rsidR="00CA02A3" w:rsidRPr="007178AB" w:rsidTr="002A379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7178AB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Mocznik 46% (N)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93,92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167,6</w:t>
            </w:r>
          </w:p>
        </w:tc>
      </w:tr>
      <w:tr w:rsidR="00CA02A3" w:rsidRPr="007178AB" w:rsidTr="002A379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7178AB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Superfosfat </w:t>
            </w:r>
            <w:proofErr w:type="spellStart"/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potr</w:t>
            </w:r>
            <w:proofErr w:type="spellEnd"/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granul. 40% (P</w:t>
            </w: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5</w:t>
            </w: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84,96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184,4</w:t>
            </w:r>
          </w:p>
        </w:tc>
      </w:tr>
      <w:tr w:rsidR="00CA02A3" w:rsidRPr="007178AB" w:rsidTr="002A379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7178AB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Super fosfat granulowany 20% (P</w:t>
            </w: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5</w:t>
            </w: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55,96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98,64</w:t>
            </w:r>
          </w:p>
        </w:tc>
      </w:tr>
      <w:tr w:rsidR="00CA02A3" w:rsidRPr="007178AB" w:rsidTr="002A379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7178AB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fosforan amonu 18% (N), 46% (P</w:t>
            </w: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5</w:t>
            </w: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232,8</w:t>
            </w:r>
          </w:p>
        </w:tc>
      </w:tr>
      <w:tr w:rsidR="00CA02A3" w:rsidRPr="007178AB" w:rsidTr="002A379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7178AB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Polifoska</w:t>
            </w:r>
            <w:proofErr w:type="spellEnd"/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8% (N), 24% (P</w:t>
            </w: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 xml:space="preserve">5 </w:t>
            </w: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K</w:t>
            </w: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208,5</w:t>
            </w:r>
          </w:p>
        </w:tc>
      </w:tr>
      <w:tr w:rsidR="00CA02A3" w:rsidRPr="007178AB" w:rsidTr="002A379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7178AB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Sól potasowa ok. 60% (K</w:t>
            </w: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89,08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</w:tr>
      <w:tr w:rsidR="00CA02A3" w:rsidRPr="007178AB" w:rsidTr="002A379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7178AB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Wapno tlenowe 60% </w:t>
            </w:r>
            <w:proofErr w:type="spellStart"/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CaO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45,19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7178AB" w:rsidRDefault="00CA02A3" w:rsidP="002A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73,17</w:t>
            </w:r>
          </w:p>
        </w:tc>
      </w:tr>
    </w:tbl>
    <w:p w:rsidR="00CA02A3" w:rsidRPr="003A3370" w:rsidRDefault="00CA02A3" w:rsidP="00CA02A3">
      <w:pPr>
        <w:spacing w:line="360" w:lineRule="auto"/>
        <w:rPr>
          <w:rFonts w:ascii="Times New Roman" w:hAnsi="Times New Roman" w:cs="Times New Roman"/>
          <w:i/>
          <w:sz w:val="20"/>
        </w:rPr>
      </w:pPr>
      <w:r w:rsidRPr="00852199">
        <w:rPr>
          <w:rFonts w:ascii="Times New Roman" w:hAnsi="Times New Roman" w:cs="Times New Roman"/>
          <w:sz w:val="20"/>
        </w:rPr>
        <w:lastRenderedPageBreak/>
        <w:t>* Od początki 2005r superfosfat potrójny granulowany produkowany jest o zawartości 40% czystego składnika</w:t>
      </w:r>
      <w:r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i/>
          <w:sz w:val="20"/>
        </w:rPr>
        <w:t>Źródło: Dane GUS</w:t>
      </w:r>
    </w:p>
    <w:p w:rsidR="00CA02A3" w:rsidRDefault="00CA02A3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Tabela 4</w:t>
      </w:r>
    </w:p>
    <w:p w:rsidR="00CA02A3" w:rsidRDefault="00CA02A3" w:rsidP="00CA02A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A02A3">
        <w:rPr>
          <w:rFonts w:ascii="Times New Roman" w:hAnsi="Times New Roman" w:cs="Times New Roman"/>
          <w:b/>
          <w:sz w:val="24"/>
        </w:rPr>
        <w:t>Wskaźniki zmian cen nawozów mineralnych (w 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2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CD5F53" w:rsidRPr="00CA02A3" w:rsidTr="002A3796">
        <w:trPr>
          <w:trHeight w:val="61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53" w:rsidRPr="00CA02A3" w:rsidRDefault="00CD5F5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Wyszczególnienie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53" w:rsidRPr="00CA02A3" w:rsidRDefault="00CD5F5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2003</w:t>
            </w:r>
          </w:p>
          <w:p w:rsidR="00CD5F53" w:rsidRPr="00CA02A3" w:rsidRDefault="00CD5F5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53" w:rsidRPr="00CA02A3" w:rsidRDefault="00CD5F5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2004</w:t>
            </w:r>
          </w:p>
          <w:p w:rsidR="00CD5F53" w:rsidRPr="00CA02A3" w:rsidRDefault="00CD5F5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53" w:rsidRPr="00CA02A3" w:rsidRDefault="00CD5F5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2005</w:t>
            </w:r>
          </w:p>
          <w:p w:rsidR="00CD5F53" w:rsidRPr="00CA02A3" w:rsidRDefault="00CD5F5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53" w:rsidRPr="00CA02A3" w:rsidRDefault="00CD5F5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2006</w:t>
            </w:r>
          </w:p>
          <w:p w:rsidR="00CD5F53" w:rsidRPr="00CA02A3" w:rsidRDefault="00CD5F5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53" w:rsidRPr="00CA02A3" w:rsidRDefault="00CD5F5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2007</w:t>
            </w:r>
          </w:p>
          <w:p w:rsidR="00CD5F53" w:rsidRPr="00CA02A3" w:rsidRDefault="00CD5F5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53" w:rsidRPr="00CA02A3" w:rsidRDefault="00CD5F5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2008</w:t>
            </w:r>
          </w:p>
          <w:p w:rsidR="00CD5F53" w:rsidRPr="00CA02A3" w:rsidRDefault="00CD5F5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53" w:rsidRPr="00CA02A3" w:rsidRDefault="00CD5F5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2009</w:t>
            </w:r>
          </w:p>
          <w:p w:rsidR="00CD5F53" w:rsidRPr="00CA02A3" w:rsidRDefault="00CD5F5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53" w:rsidRPr="00CA02A3" w:rsidRDefault="00CD5F5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2010</w:t>
            </w:r>
          </w:p>
          <w:p w:rsidR="00CD5F53" w:rsidRPr="00CA02A3" w:rsidRDefault="00CD5F5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53" w:rsidRPr="00CA02A3" w:rsidRDefault="00CD5F5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2011</w:t>
            </w:r>
          </w:p>
          <w:p w:rsidR="00CD5F53" w:rsidRPr="00CA02A3" w:rsidRDefault="00CD5F5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XII</w:t>
            </w:r>
          </w:p>
        </w:tc>
      </w:tr>
      <w:tr w:rsidR="00CA02A3" w:rsidRPr="00CA02A3" w:rsidTr="006F391F">
        <w:trPr>
          <w:trHeight w:val="30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D5F5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38FA4A" wp14:editId="5DE68E1F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-12700</wp:posOffset>
                      </wp:positionV>
                      <wp:extent cx="3657600" cy="0"/>
                      <wp:effectExtent l="0" t="0" r="19050" b="1905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5pt,-1pt" to="455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" strokecolor="black [3040]"/>
                  </w:pict>
                </mc:Fallback>
              </mc:AlternateContent>
            </w:r>
            <w:r w:rsidR="00CA02A3"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Saletrzak 28% (N)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131,9</w:t>
            </w:r>
          </w:p>
        </w:tc>
      </w:tr>
      <w:tr w:rsidR="00CA02A3" w:rsidRPr="00CA02A3" w:rsidTr="006F391F">
        <w:trPr>
          <w:trHeight w:val="30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Saletra amonowa 33-34,5% (N)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130,9</w:t>
            </w:r>
          </w:p>
        </w:tc>
      </w:tr>
      <w:tr w:rsidR="00CA02A3" w:rsidRPr="00CA02A3" w:rsidTr="006F391F">
        <w:trPr>
          <w:trHeight w:val="30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Mocznik 46% (N)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</w:tr>
      <w:tr w:rsidR="00CA02A3" w:rsidRPr="00CA02A3" w:rsidTr="006F391F">
        <w:trPr>
          <w:trHeight w:val="30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Superfosfat </w:t>
            </w:r>
            <w:proofErr w:type="spellStart"/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potr</w:t>
            </w:r>
            <w:proofErr w:type="spellEnd"/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granul. 40% (P</w:t>
            </w: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5</w:t>
            </w: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110,8</w:t>
            </w:r>
          </w:p>
        </w:tc>
      </w:tr>
      <w:tr w:rsidR="00CA02A3" w:rsidRPr="00CA02A3" w:rsidTr="006F391F">
        <w:trPr>
          <w:trHeight w:val="30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Super fosfat granulowany 20% (P</w:t>
            </w: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5</w:t>
            </w: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108,5</w:t>
            </w:r>
          </w:p>
        </w:tc>
      </w:tr>
      <w:tr w:rsidR="00CA02A3" w:rsidRPr="00CA02A3" w:rsidTr="006F391F">
        <w:trPr>
          <w:trHeight w:val="30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Sól potasowa ok. 60% (K</w:t>
            </w: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115,2</w:t>
            </w:r>
          </w:p>
        </w:tc>
      </w:tr>
      <w:tr w:rsidR="00CA02A3" w:rsidRPr="00CA02A3" w:rsidTr="006F391F">
        <w:trPr>
          <w:trHeight w:val="30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fosforan amonu 18% (N), 46% (P</w:t>
            </w: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5</w:t>
            </w: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117,6</w:t>
            </w:r>
          </w:p>
        </w:tc>
      </w:tr>
      <w:tr w:rsidR="00CA02A3" w:rsidRPr="00CA02A3" w:rsidTr="006F391F">
        <w:trPr>
          <w:trHeight w:val="30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Polifoska</w:t>
            </w:r>
            <w:proofErr w:type="spellEnd"/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8% (N), 24% (P</w:t>
            </w: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 xml:space="preserve">5 </w:t>
            </w: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K</w:t>
            </w: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117,3</w:t>
            </w:r>
          </w:p>
        </w:tc>
      </w:tr>
      <w:tr w:rsidR="00CA02A3" w:rsidRPr="00CA02A3" w:rsidTr="006F391F">
        <w:trPr>
          <w:trHeight w:val="30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Wapno tlenowe 60% </w:t>
            </w:r>
            <w:proofErr w:type="spellStart"/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CaO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92,4</w:t>
            </w:r>
          </w:p>
        </w:tc>
      </w:tr>
      <w:tr w:rsidR="00CA02A3" w:rsidRPr="00CA02A3" w:rsidTr="006F391F">
        <w:trPr>
          <w:trHeight w:val="30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A3" w:rsidRPr="00CA02A3" w:rsidRDefault="00CA02A3" w:rsidP="00CA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 inflacji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3" w:rsidRPr="00CA02A3" w:rsidRDefault="00CA02A3" w:rsidP="00CA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104,6</w:t>
            </w:r>
          </w:p>
        </w:tc>
      </w:tr>
    </w:tbl>
    <w:p w:rsidR="00CA02A3" w:rsidRPr="00CA02A3" w:rsidRDefault="00CA02A3" w:rsidP="00CA02A3">
      <w:pPr>
        <w:spacing w:line="360" w:lineRule="auto"/>
        <w:rPr>
          <w:rFonts w:ascii="Times New Roman" w:hAnsi="Times New Roman" w:cs="Times New Roman"/>
          <w:sz w:val="20"/>
        </w:rPr>
      </w:pPr>
      <w:r w:rsidRPr="00CA02A3">
        <w:rPr>
          <w:rFonts w:ascii="Times New Roman" w:hAnsi="Times New Roman" w:cs="Times New Roman"/>
          <w:sz w:val="20"/>
        </w:rPr>
        <w:t>G</w:t>
      </w:r>
      <w:r>
        <w:rPr>
          <w:rFonts w:ascii="Times New Roman" w:hAnsi="Times New Roman" w:cs="Times New Roman"/>
          <w:sz w:val="20"/>
        </w:rPr>
        <w:t>rudzień roku poprzedniego = 100</w:t>
      </w:r>
      <w:r>
        <w:rPr>
          <w:rFonts w:ascii="Times New Roman" w:hAnsi="Times New Roman" w:cs="Times New Roman"/>
          <w:sz w:val="20"/>
        </w:rPr>
        <w:br/>
      </w:r>
      <w:r w:rsidRPr="00CA02A3">
        <w:rPr>
          <w:rFonts w:ascii="Times New Roman" w:hAnsi="Times New Roman" w:cs="Times New Roman"/>
          <w:i/>
          <w:sz w:val="20"/>
        </w:rPr>
        <w:t>Źródło: Dane GUS</w:t>
      </w:r>
    </w:p>
    <w:p w:rsidR="00B66AFF" w:rsidRDefault="00B66AFF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Mimo to stanowiły one w stosunku do zbóż i innych surowców rolnych. Na zakup 1kg NPK należało w 2011r przeznaczyć równowartość 4,7kg pszenicy, 5,2kg żyta i 10,8kg ziemniaków, podczas gdy w 2010r odpowiednio 5,7kg pszenicy, 8,3kg</w:t>
      </w:r>
      <w:r w:rsidR="00FD3E7E">
        <w:rPr>
          <w:rFonts w:ascii="Times New Roman" w:hAnsi="Times New Roman" w:cs="Times New Roman"/>
          <w:sz w:val="24"/>
        </w:rPr>
        <w:t xml:space="preserve"> żyta i 9,4kg ziemniaków</w:t>
      </w:r>
      <w:r>
        <w:rPr>
          <w:rFonts w:ascii="Times New Roman" w:hAnsi="Times New Roman" w:cs="Times New Roman"/>
          <w:sz w:val="24"/>
        </w:rPr>
        <w:t>.</w:t>
      </w:r>
    </w:p>
    <w:p w:rsidR="00B66AFF" w:rsidRDefault="00B66AFF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Najtańszymi nawozami mineralnymi w 2011r, w przeliczeniu na czysty składnik, były: sól potasowa (3,6kg pszenicy i 3,9kg żyta), fosforan amonu (4,2kg pszenicy i 4,5kg żyta) i </w:t>
      </w:r>
      <w:proofErr w:type="spellStart"/>
      <w:r>
        <w:rPr>
          <w:rFonts w:ascii="Times New Roman" w:hAnsi="Times New Roman" w:cs="Times New Roman"/>
          <w:sz w:val="24"/>
        </w:rPr>
        <w:t>polifoksa</w:t>
      </w:r>
      <w:proofErr w:type="spellEnd"/>
      <w:r>
        <w:rPr>
          <w:rFonts w:ascii="Times New Roman" w:hAnsi="Times New Roman" w:cs="Times New Roman"/>
          <w:sz w:val="24"/>
        </w:rPr>
        <w:t xml:space="preserve"> (4,2kg pszenicy i 4,6kg żyta). Do najdroższych nawozów zaliczały się: superfosfat potrójny granulowany (5,7kg pszenicy i 6,2kg żyta), superfosfat granulowany (5,4kg pszenicy i 5,8kg żyta), saletrzak (5,3kg pszenicy i 5,8kg żyta) oraz saletra amonowa (4,7kg pszenicy i 5,1kg żyta).</w:t>
      </w:r>
    </w:p>
    <w:p w:rsidR="001A00A9" w:rsidRDefault="001A00A9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Tabela 5</w:t>
      </w:r>
    </w:p>
    <w:p w:rsidR="001A00A9" w:rsidRDefault="001A00A9" w:rsidP="001A00A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A00A9">
        <w:rPr>
          <w:rFonts w:ascii="Times New Roman" w:hAnsi="Times New Roman" w:cs="Times New Roman"/>
          <w:b/>
          <w:sz w:val="24"/>
        </w:rPr>
        <w:t>Średnioroczna cena 1kg czystego składnika nawozu wyrażona w kg pszenicy i żyta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8"/>
        <w:gridCol w:w="519"/>
        <w:gridCol w:w="519"/>
        <w:gridCol w:w="51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1A00A9" w:rsidRPr="001A00A9" w:rsidTr="006F391F">
        <w:trPr>
          <w:trHeight w:val="763"/>
        </w:trPr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Pszenica</w:t>
            </w:r>
          </w:p>
        </w:tc>
        <w:tc>
          <w:tcPr>
            <w:tcW w:w="19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Żyto</w:t>
            </w:r>
          </w:p>
        </w:tc>
      </w:tr>
      <w:tr w:rsidR="001A00A9" w:rsidRPr="001A00A9" w:rsidTr="006F391F">
        <w:trPr>
          <w:trHeight w:val="300"/>
        </w:trPr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2005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2006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2007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2008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2009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2010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2011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2005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2006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2007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2008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2009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2010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2011</w:t>
            </w:r>
          </w:p>
        </w:tc>
      </w:tr>
      <w:tr w:rsidR="001A00A9" w:rsidRPr="001A00A9" w:rsidTr="006F391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Saletrzak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5,8</w:t>
            </w:r>
          </w:p>
        </w:tc>
      </w:tr>
      <w:tr w:rsidR="001A00A9" w:rsidRPr="001A00A9" w:rsidTr="006F391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Saletra amonowa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5,1</w:t>
            </w:r>
          </w:p>
        </w:tc>
      </w:tr>
      <w:tr w:rsidR="001A00A9" w:rsidRPr="001A00A9" w:rsidTr="006F391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Mocznik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</w:tr>
      <w:tr w:rsidR="001A00A9" w:rsidRPr="001A00A9" w:rsidTr="006F391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Superfosfat granulowany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5,8</w:t>
            </w:r>
          </w:p>
        </w:tc>
      </w:tr>
      <w:tr w:rsidR="001A00A9" w:rsidRPr="001A00A9" w:rsidTr="006F391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Superfosfat </w:t>
            </w:r>
            <w:proofErr w:type="spellStart"/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potr</w:t>
            </w:r>
            <w:proofErr w:type="spellEnd"/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granul.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</w:t>
            </w:r>
          </w:p>
        </w:tc>
      </w:tr>
      <w:tr w:rsidR="001A00A9" w:rsidRPr="001A00A9" w:rsidTr="006F391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Fosforan amonu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</w:tr>
      <w:tr w:rsidR="001A00A9" w:rsidRPr="001A00A9" w:rsidTr="006F391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Polifoska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4,6</w:t>
            </w:r>
          </w:p>
        </w:tc>
      </w:tr>
      <w:tr w:rsidR="001A00A9" w:rsidRPr="001A00A9" w:rsidTr="006F391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Sól potasowa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3,9</w:t>
            </w:r>
          </w:p>
        </w:tc>
      </w:tr>
      <w:tr w:rsidR="001A00A9" w:rsidRPr="001A00A9" w:rsidTr="006F391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Wapno tlenkowe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9" w:rsidRPr="001A00A9" w:rsidRDefault="001A00A9" w:rsidP="001A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1,8</w:t>
            </w:r>
          </w:p>
        </w:tc>
      </w:tr>
    </w:tbl>
    <w:p w:rsidR="001A00A9" w:rsidRPr="00456E56" w:rsidRDefault="00456E56" w:rsidP="00456E56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456E56">
        <w:rPr>
          <w:rFonts w:ascii="Times New Roman" w:hAnsi="Times New Roman" w:cs="Times New Roman"/>
          <w:i/>
          <w:sz w:val="20"/>
        </w:rPr>
        <w:t xml:space="preserve">Źródło: Dane GUS i obliczenia </w:t>
      </w:r>
      <w:proofErr w:type="spellStart"/>
      <w:r w:rsidRPr="00456E56">
        <w:rPr>
          <w:rFonts w:ascii="Times New Roman" w:hAnsi="Times New Roman" w:cs="Times New Roman"/>
          <w:i/>
          <w:sz w:val="20"/>
        </w:rPr>
        <w:t>IERiGŻ</w:t>
      </w:r>
      <w:proofErr w:type="spellEnd"/>
      <w:r w:rsidRPr="00456E56">
        <w:rPr>
          <w:rFonts w:ascii="Times New Roman" w:hAnsi="Times New Roman" w:cs="Times New Roman"/>
          <w:i/>
          <w:sz w:val="20"/>
        </w:rPr>
        <w:t>-PIB</w:t>
      </w:r>
      <w:r w:rsidRPr="00456E56">
        <w:rPr>
          <w:rFonts w:ascii="Times New Roman" w:hAnsi="Times New Roman" w:cs="Times New Roman"/>
          <w:i/>
          <w:sz w:val="24"/>
        </w:rPr>
        <w:tab/>
      </w:r>
    </w:p>
    <w:p w:rsidR="00B66AFF" w:rsidRDefault="00B66AFF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Poprawa relacji cen nawozów mineralnych do zbóż i pozostałych produktów oraz wzrost wartości dopłat bezpośrednich wpłynęły w 2011r na wzrost jednostkowego zużycia nawozów mineralnych, Jednak niekorzystne warunki agroklimatyczne w trakcie wegetacji spowodowały spadek plonów i w </w:t>
      </w:r>
      <w:r w:rsidR="00F46C38">
        <w:rPr>
          <w:rFonts w:ascii="Times New Roman" w:hAnsi="Times New Roman" w:cs="Times New Roman"/>
          <w:sz w:val="24"/>
        </w:rPr>
        <w:t xml:space="preserve">ślad za tym zbiorów zbóż oraz pozostałych roślin uprawnych. </w:t>
      </w:r>
    </w:p>
    <w:p w:rsidR="00B66AFF" w:rsidRDefault="00113BD7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E82B15">
        <w:rPr>
          <w:rFonts w:ascii="Times New Roman" w:hAnsi="Times New Roman" w:cs="Times New Roman"/>
          <w:b/>
          <w:sz w:val="24"/>
        </w:rPr>
        <w:t>.3</w:t>
      </w:r>
      <w:r w:rsidR="00B66AFF">
        <w:rPr>
          <w:rFonts w:ascii="Times New Roman" w:hAnsi="Times New Roman" w:cs="Times New Roman"/>
          <w:b/>
          <w:sz w:val="24"/>
        </w:rPr>
        <w:t xml:space="preserve"> </w:t>
      </w:r>
      <w:r w:rsidR="004C60C4">
        <w:rPr>
          <w:rFonts w:ascii="Times New Roman" w:hAnsi="Times New Roman" w:cs="Times New Roman"/>
          <w:b/>
          <w:sz w:val="24"/>
        </w:rPr>
        <w:t>Nawozy wapniowe.</w:t>
      </w:r>
    </w:p>
    <w:p w:rsidR="004C60C4" w:rsidRDefault="004C60C4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Zużycie nawozów mineralnych pod zbiory 2011r wyniosło średnio w rolnictwie 36,8kg </w:t>
      </w:r>
      <w:proofErr w:type="spellStart"/>
      <w:r>
        <w:rPr>
          <w:rFonts w:ascii="Times New Roman" w:hAnsi="Times New Roman" w:cs="Times New Roman"/>
          <w:sz w:val="24"/>
        </w:rPr>
        <w:t>CaO</w:t>
      </w:r>
      <w:proofErr w:type="spellEnd"/>
      <w:r>
        <w:rPr>
          <w:rFonts w:ascii="Times New Roman" w:hAnsi="Times New Roman" w:cs="Times New Roman"/>
          <w:sz w:val="24"/>
        </w:rPr>
        <w:t>/ha UR i było niższe o 5,2% niż w 2010r. Głęboki spadek nawożenia wapniowego nastąpił po 2004r na skutek likwidacji dotacji do cen zakupu nawozów wapniowych wypłacanych rolnikom z budżetu państwa. Obecnie nawożenie wapniowe stosuje zaledwie 8,3% gospodarstw, mimo dominacji gleb kwaśnych w polskim rolnictwie.</w:t>
      </w:r>
    </w:p>
    <w:p w:rsidR="004C60C4" w:rsidRDefault="004C60C4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 roku gospodarczym 2010/2011 poziom zużycia nawozów mineralnych NPK przewyższał ponad 3-krotnie poziom zużycia nawozów wapniowych </w:t>
      </w:r>
      <w:proofErr w:type="spellStart"/>
      <w:r>
        <w:rPr>
          <w:rFonts w:ascii="Times New Roman" w:hAnsi="Times New Roman" w:cs="Times New Roman"/>
          <w:sz w:val="24"/>
        </w:rPr>
        <w:t>CaO</w:t>
      </w:r>
      <w:proofErr w:type="spellEnd"/>
      <w:r>
        <w:rPr>
          <w:rFonts w:ascii="Times New Roman" w:hAnsi="Times New Roman" w:cs="Times New Roman"/>
          <w:sz w:val="24"/>
        </w:rPr>
        <w:t xml:space="preserve">. Niskie zużycie wapnia przyczynia się do obniżenia produktywności gleb, obniża plony i jakość uprawnych roślin na przeważającym obszarze gruntów rolnych. </w:t>
      </w:r>
    </w:p>
    <w:p w:rsidR="004C60C4" w:rsidRDefault="004C60C4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Utrzymuje się bardzo duże zróżnicowanie zużycia nawozów wapniowych między poszczególnymi województwami. W 2011r wahało się ono od 104,8kg </w:t>
      </w:r>
      <w:proofErr w:type="spellStart"/>
      <w:r>
        <w:rPr>
          <w:rFonts w:ascii="Times New Roman" w:hAnsi="Times New Roman" w:cs="Times New Roman"/>
          <w:sz w:val="24"/>
        </w:rPr>
        <w:t>CaO</w:t>
      </w:r>
      <w:proofErr w:type="spellEnd"/>
      <w:r>
        <w:rPr>
          <w:rFonts w:ascii="Times New Roman" w:hAnsi="Times New Roman" w:cs="Times New Roman"/>
          <w:sz w:val="24"/>
        </w:rPr>
        <w:t xml:space="preserve">/ha w woj. opolskim do 4,5kg </w:t>
      </w:r>
      <w:proofErr w:type="spellStart"/>
      <w:r>
        <w:rPr>
          <w:rFonts w:ascii="Times New Roman" w:hAnsi="Times New Roman" w:cs="Times New Roman"/>
          <w:sz w:val="24"/>
        </w:rPr>
        <w:t>CaO</w:t>
      </w:r>
      <w:proofErr w:type="spellEnd"/>
      <w:r>
        <w:rPr>
          <w:rFonts w:ascii="Times New Roman" w:hAnsi="Times New Roman" w:cs="Times New Roman"/>
          <w:sz w:val="24"/>
        </w:rPr>
        <w:t xml:space="preserve">/ha w woj. świętokrzyskim. W województwach o najwyższym poziomie nawożenia mineralnego powyżej 140kg NPK/ha i osiągających najwyższe plony zbóż, zużywa się nie mniej niż 40kg </w:t>
      </w:r>
      <w:proofErr w:type="spellStart"/>
      <w:r>
        <w:rPr>
          <w:rFonts w:ascii="Times New Roman" w:hAnsi="Times New Roman" w:cs="Times New Roman"/>
          <w:sz w:val="24"/>
        </w:rPr>
        <w:t>CaO</w:t>
      </w:r>
      <w:proofErr w:type="spellEnd"/>
      <w:r>
        <w:rPr>
          <w:rFonts w:ascii="Times New Roman" w:hAnsi="Times New Roman" w:cs="Times New Roman"/>
          <w:sz w:val="24"/>
        </w:rPr>
        <w:t xml:space="preserve">/ha użytków rolnych. </w:t>
      </w:r>
    </w:p>
    <w:p w:rsidR="004C60C4" w:rsidRDefault="004C60C4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Relacje cen nawozów wapniowych do cen zbóż znacznie się polepszyły. Na zakup 1kg </w:t>
      </w:r>
      <w:proofErr w:type="spellStart"/>
      <w:r>
        <w:rPr>
          <w:rFonts w:ascii="Times New Roman" w:hAnsi="Times New Roman" w:cs="Times New Roman"/>
          <w:sz w:val="24"/>
        </w:rPr>
        <w:t>CaO</w:t>
      </w:r>
      <w:proofErr w:type="spellEnd"/>
      <w:r>
        <w:rPr>
          <w:rFonts w:ascii="Times New Roman" w:hAnsi="Times New Roman" w:cs="Times New Roman"/>
          <w:sz w:val="24"/>
        </w:rPr>
        <w:t xml:space="preserve"> należało w 2011r przeznaczyć równowartość 1,7kg pszenicy, 1,8kg żyta i 3,8 ziemniaków. W 2010r było to odpowiednio 2,2kg pszenicy, 3,2kg żyta i 3,7kg ziemniaków, a w 2009r 2,6kg pszenicy, 3,8kg żyta lub 3,9kg ziemniaków.</w:t>
      </w:r>
    </w:p>
    <w:p w:rsidR="004C60C4" w:rsidRDefault="00113BD7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E82B15">
        <w:rPr>
          <w:rFonts w:ascii="Times New Roman" w:hAnsi="Times New Roman" w:cs="Times New Roman"/>
          <w:b/>
          <w:sz w:val="24"/>
        </w:rPr>
        <w:t xml:space="preserve">.4 </w:t>
      </w:r>
      <w:r w:rsidR="004C60C4">
        <w:rPr>
          <w:rFonts w:ascii="Times New Roman" w:hAnsi="Times New Roman" w:cs="Times New Roman"/>
          <w:b/>
          <w:sz w:val="24"/>
        </w:rPr>
        <w:t xml:space="preserve"> Prognoza zużycia nawozów mineralnych pod zbiory 2012r.</w:t>
      </w:r>
    </w:p>
    <w:p w:rsidR="004C60C4" w:rsidRDefault="004C60C4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435BF5">
        <w:rPr>
          <w:rFonts w:ascii="Times New Roman" w:hAnsi="Times New Roman" w:cs="Times New Roman"/>
          <w:sz w:val="24"/>
        </w:rPr>
        <w:t>W drugiej połowie 2011r ustabilizowanie światowych cen nawozów mineralnych spowodowało zahamowanie podwyżek na lokalnych rynkach w tym również w Polsce. W Polsce utrzymująca się korzystna koniunktura dla rolnictwa oraz rosnące dopłaty bezpośrednie pozwalają prognozować wzrost poziomu nawożenia pod zbiory w 2012r do około 130kg NPK/ha.</w:t>
      </w:r>
    </w:p>
    <w:p w:rsidR="002F67E0" w:rsidRDefault="00113BD7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</w:t>
      </w:r>
      <w:r w:rsidR="00E82B15">
        <w:rPr>
          <w:rFonts w:ascii="Times New Roman" w:hAnsi="Times New Roman" w:cs="Times New Roman"/>
          <w:b/>
          <w:sz w:val="24"/>
        </w:rPr>
        <w:t xml:space="preserve">. </w:t>
      </w:r>
      <w:r w:rsidR="002F67E0">
        <w:rPr>
          <w:rFonts w:ascii="Times New Roman" w:hAnsi="Times New Roman" w:cs="Times New Roman"/>
          <w:b/>
          <w:sz w:val="24"/>
        </w:rPr>
        <w:t>ŚWIATOWY RYNEK NAWOZÓW MINERALNYCH</w:t>
      </w:r>
    </w:p>
    <w:p w:rsidR="002F67E0" w:rsidRDefault="00113BD7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E82B15">
        <w:rPr>
          <w:rFonts w:ascii="Times New Roman" w:hAnsi="Times New Roman" w:cs="Times New Roman"/>
          <w:b/>
          <w:sz w:val="24"/>
        </w:rPr>
        <w:t>.</w:t>
      </w:r>
      <w:r w:rsidR="002F67E0">
        <w:rPr>
          <w:rFonts w:ascii="Times New Roman" w:hAnsi="Times New Roman" w:cs="Times New Roman"/>
          <w:b/>
          <w:sz w:val="24"/>
        </w:rPr>
        <w:t>1 Produkcja nawozów mineralnych.</w:t>
      </w:r>
    </w:p>
    <w:p w:rsidR="002F67E0" w:rsidRDefault="002F67E0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36288">
        <w:rPr>
          <w:rFonts w:ascii="Times New Roman" w:hAnsi="Times New Roman" w:cs="Times New Roman"/>
          <w:sz w:val="24"/>
        </w:rPr>
        <w:t xml:space="preserve">W 2010r światowa produkcja głównych składników nawozów mineralnych zwiększa się o około 5% w porównaniu z 2010r, przy czym produkcja amoniaku wzrosła o 4%, a fosforytów i soli potasowej o około 6%. Produkcja na rynki wewnętrzne wzrosła o 6%, natomiast produkcja przeznaczona na eksport o 3%. Produkcja głównych składników nawozów mineralnych w 2011r angażowała 83% istniejących mocy produkcyjnych, o 1 </w:t>
      </w:r>
      <w:proofErr w:type="spellStart"/>
      <w:r w:rsidR="00F36288">
        <w:rPr>
          <w:rFonts w:ascii="Times New Roman" w:hAnsi="Times New Roman" w:cs="Times New Roman"/>
          <w:sz w:val="24"/>
        </w:rPr>
        <w:t>p.p</w:t>
      </w:r>
      <w:proofErr w:type="spellEnd"/>
      <w:r w:rsidR="00F36288">
        <w:rPr>
          <w:rFonts w:ascii="Times New Roman" w:hAnsi="Times New Roman" w:cs="Times New Roman"/>
          <w:sz w:val="24"/>
        </w:rPr>
        <w:t>. więcej niż w 2010r.</w:t>
      </w:r>
    </w:p>
    <w:p w:rsidR="00F36288" w:rsidRDefault="00F36288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Produkcja amoniaku, półproduktu powstającego na bazie gazu ziemnego wykorzystywanego do wytwarzania mocznika i innych nawozów azotowych, wzrosła w tym czasie o około 4% do 165 min ton NH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(135 mln t N). Produkcja amoniaku jest rozproszona w około 70 krajach, ale głównie część produkcji skupiona jest w kilku krajach mających ogromne zasoby gazy ziemnego oraz węgla, których ceny są najniższe. Największym producentem amoniaku są Chiny, które wytworzyły w 2011r ponad 30% produkcji światowej. Udział pozostałych ważniejszych producentów jest znacznie mniejszy i wynosi 8-9% (Indie i Rosja) do 4-6% (USA, Indonezja, </w:t>
      </w:r>
      <w:proofErr w:type="spellStart"/>
      <w:r>
        <w:rPr>
          <w:rFonts w:ascii="Times New Roman" w:hAnsi="Times New Roman" w:cs="Times New Roman"/>
          <w:sz w:val="24"/>
        </w:rPr>
        <w:t>Trynidad</w:t>
      </w:r>
      <w:proofErr w:type="spellEnd"/>
      <w:r>
        <w:rPr>
          <w:rFonts w:ascii="Times New Roman" w:hAnsi="Times New Roman" w:cs="Times New Roman"/>
          <w:sz w:val="24"/>
        </w:rPr>
        <w:t xml:space="preserve"> i Tobago). Łączny udział 5 największych producentów amoniaku wynosi blisko 60%.</w:t>
      </w:r>
    </w:p>
    <w:p w:rsidR="00F36288" w:rsidRDefault="00F36288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Światowy eksport amoniaku wzrósł w 2011r o 2% i wyniósł 17,7 mln t N, co stanowiło 13,1% produkcji globalnej. Największymi eksporterami amoniaku są </w:t>
      </w:r>
      <w:proofErr w:type="spellStart"/>
      <w:r>
        <w:rPr>
          <w:rFonts w:ascii="Times New Roman" w:hAnsi="Times New Roman" w:cs="Times New Roman"/>
          <w:sz w:val="24"/>
        </w:rPr>
        <w:t>Trynidad</w:t>
      </w:r>
      <w:proofErr w:type="spellEnd"/>
      <w:r>
        <w:rPr>
          <w:rFonts w:ascii="Times New Roman" w:hAnsi="Times New Roman" w:cs="Times New Roman"/>
          <w:sz w:val="24"/>
        </w:rPr>
        <w:t xml:space="preserve"> i Tobago, Rosja, Ukraina oraz Indie i Korea Południowa. Głównymi eksporterami przetworzonych nawozów azotowych są: Rosja, Ukraina, Kanada oraz Chiny, a największymi importerami: Stany Zjednoczone, Indie i Brazylia. </w:t>
      </w:r>
    </w:p>
    <w:p w:rsidR="00F36288" w:rsidRDefault="00F36288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Głównym surowcem wykorzystywanym do produkcji nawozów fosforowych są fosforyty tworzące złoża w kilku regionach świata. Największe rezerwy fosforytów znajdują się w Maroku – około 50 mld ton, Iraku – 5,8 mld ton, Chinach – 3,7 mld ton i Algierii – 2,2 mld ton.</w:t>
      </w:r>
      <w:r w:rsidR="00874F65">
        <w:rPr>
          <w:rFonts w:ascii="Times New Roman" w:hAnsi="Times New Roman" w:cs="Times New Roman"/>
          <w:sz w:val="24"/>
        </w:rPr>
        <w:t xml:space="preserve"> W 2011r wydobyto 191 mln t fosforytów (59 mln y P</w:t>
      </w:r>
      <w:r w:rsidR="00874F65">
        <w:rPr>
          <w:rFonts w:ascii="Times New Roman" w:hAnsi="Times New Roman" w:cs="Times New Roman"/>
          <w:sz w:val="24"/>
          <w:vertAlign w:val="subscript"/>
        </w:rPr>
        <w:t>2</w:t>
      </w:r>
      <w:r w:rsidR="00874F65">
        <w:rPr>
          <w:rFonts w:ascii="Times New Roman" w:hAnsi="Times New Roman" w:cs="Times New Roman"/>
          <w:sz w:val="24"/>
        </w:rPr>
        <w:t>O</w:t>
      </w:r>
      <w:r w:rsidR="00874F65">
        <w:rPr>
          <w:rFonts w:ascii="Times New Roman" w:hAnsi="Times New Roman" w:cs="Times New Roman"/>
          <w:sz w:val="24"/>
          <w:vertAlign w:val="subscript"/>
        </w:rPr>
        <w:t>5</w:t>
      </w:r>
      <w:r w:rsidR="00874F65">
        <w:rPr>
          <w:rFonts w:ascii="Times New Roman" w:hAnsi="Times New Roman" w:cs="Times New Roman"/>
          <w:sz w:val="24"/>
        </w:rPr>
        <w:t>), o 6% więcej niż w roku poprzednim. Największy blisko 38% udział w światowym wydobyciu mają Chiny. Udział USA wynosi 14,9%, Maroko 14,1%, a Rosji 5,8%. Najważniejszym eksporterem fosforytów jest Maroko, a importerem – Indie. Największymi eksporterami przetworzonych nawozów fosforowych są Stany Zjednoczone, Rosja i Chiny, a importerami: Brazylia, Stany Zjednoczone i Indie.</w:t>
      </w:r>
    </w:p>
    <w:p w:rsidR="00874F65" w:rsidRDefault="00874F65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Produkcja nawozów potasowych jest mocno skoncentrowana. Złoża soli potasowej usytuowane są głównie w Kanadzie oraz dużo mniejsze w Rosji, Białorusi i w Niemczech. Po drastycznym spadku produkcji soli potasowej w 2009r (do 21 mln ton K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O), produkcję odbudowano do 34 mln ton K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O w 2010r i blisko 37 mln ton </w:t>
      </w:r>
      <w:r w:rsidRPr="00874F65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  <w:vertAlign w:val="subscript"/>
        </w:rPr>
        <w:t>2</w:t>
      </w:r>
      <w:r w:rsidRPr="00874F6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w 2011r. Udział Kanady w </w:t>
      </w:r>
      <w:r>
        <w:rPr>
          <w:rFonts w:ascii="Times New Roman" w:hAnsi="Times New Roman" w:cs="Times New Roman"/>
          <w:sz w:val="24"/>
        </w:rPr>
        <w:lastRenderedPageBreak/>
        <w:t xml:space="preserve">światowej produkcji soli potasowej wzrósł do 30,2%, udział Rosji wyniósł 20,0%, Białorusi – 14,9%, a Chin i Niemiec – po 8,9%. Skutkiem silnej koncentracji podaży soli potasowej jest wysoki udział wymiany handlowej w światowej produkcji, który </w:t>
      </w:r>
      <w:r w:rsidR="00DC1058">
        <w:rPr>
          <w:rFonts w:ascii="Times New Roman" w:hAnsi="Times New Roman" w:cs="Times New Roman"/>
          <w:sz w:val="24"/>
        </w:rPr>
        <w:t>przekracza 80%. Najwięksi producenci soli potasowej są również jej największymi eksporterami, natomiast największymi importerami są: Stany Zjednoczone, Brazylia, Chiny i Indie. W 2012r w związku z rosnącym popytem na nawozy mineralne, głównie w krajach azjatyckich oraz Ameryki Południowej przewidywany jest wzrost ich produkcji o 2,6% w porównaniu z 2011r. Produkcja nawozów azotowych wzrośnie w tym czasie o 2,5%, a fosforowych o 3,5%, a potasowych o 4%.</w:t>
      </w:r>
    </w:p>
    <w:p w:rsidR="00DC1058" w:rsidRDefault="00113BD7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DC1058">
        <w:rPr>
          <w:rFonts w:ascii="Times New Roman" w:hAnsi="Times New Roman" w:cs="Times New Roman"/>
          <w:b/>
          <w:sz w:val="24"/>
        </w:rPr>
        <w:t>.</w:t>
      </w:r>
      <w:r w:rsidR="00E82B15">
        <w:rPr>
          <w:rFonts w:ascii="Times New Roman" w:hAnsi="Times New Roman" w:cs="Times New Roman"/>
          <w:b/>
          <w:sz w:val="24"/>
        </w:rPr>
        <w:t>2</w:t>
      </w:r>
      <w:r w:rsidR="00DC1058">
        <w:rPr>
          <w:rFonts w:ascii="Times New Roman" w:hAnsi="Times New Roman" w:cs="Times New Roman"/>
          <w:b/>
          <w:sz w:val="24"/>
        </w:rPr>
        <w:t xml:space="preserve"> Zużycie nawozów mineralnych.</w:t>
      </w:r>
    </w:p>
    <w:p w:rsidR="00DC1058" w:rsidRDefault="00DC1058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Światowe zużycie nawozów mineralnych w 2010/2011r wynosiło 173 mln ton i było wyższe w porównaniu z sezonem poprzednim o 6,2%. Wyraźny wzrost zużycia nawozów mineralnych był spowodowany przede wszystkim ogólną poprawą koniunktury na światowych rynkach rolnych w warunkach umacniania się światowej gospodarki.</w:t>
      </w:r>
    </w:p>
    <w:p w:rsidR="00DC1058" w:rsidRDefault="00DC1058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Rosnące zużycie nawozów mineralnych w dłuższym okresie wynika przede wszystkim z konieczności intensyfikacji produkcji rolnej, spowodowanej dynamicznie rosnącym popytem na surowce rolne w skali globalnej. Presja na wzrost produkcji rolniczej wynika z wielu czynników, spośród których do najważniejszych należy zaliczyć: szybkie tempo wzrostu liczebności ludności, bogacenie się społeczeństw krajów rozwijających się oraz związany z tym wzrost konsumpcji przede wszystkim mięsa, rosnące zużycie produktów rolnych na cele alternatywne (jako biopaliwa) oraz katastrofy klimatyczne powodujące znaczące straty w plonach roślin uprawnych.</w:t>
      </w:r>
    </w:p>
    <w:p w:rsidR="00DC1058" w:rsidRDefault="00DC1058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Wyraźna odbudowa popytu nastąpiła przede wszystkim w grupie nawozów potasowych, gdzie zużycie wzrosło aż o 17,7% w porównaniu z 2009/10r, nadal jednak było o 3,8% niższe w porównaniu z rekordowym pod tym względem sezonem 2007/08. Zużycie nawozów fosforowych w sezonie 2010/11r zwię</w:t>
      </w:r>
      <w:r w:rsidR="00D635DC">
        <w:rPr>
          <w:rFonts w:ascii="Times New Roman" w:hAnsi="Times New Roman" w:cs="Times New Roman"/>
          <w:sz w:val="24"/>
        </w:rPr>
        <w:t>kszyło się o 8,8%, a azotowych o 2,6%. Było to najwyższe notowane w historii globalne zużycie nawozów azotowych i fosforowych.</w:t>
      </w:r>
    </w:p>
    <w:p w:rsidR="00D635DC" w:rsidRDefault="00D635DC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 Chinach, które mają 30% udziału w globalnym zużyciu nawozów mineralnych, odnotowano w 2009/10r relatywnie niewielki wzrost popytu, który wyniósł 1,7%. W Indiach zużycie nawozów wzrosło o 6,4%, a w Stanach Zjednoczonych aż o 14,5%. W krajach UE-27 zużycie nawozów wzrosło niemal o 9%, głównie z powodu odbudowania popytu na nawozy fosforowe i potasowe w Niemczech, Hiszpanii i we Francji, oraz systematycznie rosnącego zużycia nawozów w „nowych” krajach członkowskich. Wciąż jest ono jednak o 18,6% niższe w porównaniu z rekordowo wysokim zużyciem nawozów mineralnych w 2007/08r.</w:t>
      </w:r>
    </w:p>
    <w:p w:rsidR="002C0E43" w:rsidRDefault="002C0E43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Tabela 7</w:t>
      </w:r>
    </w:p>
    <w:p w:rsidR="002C0E43" w:rsidRDefault="002C0E43" w:rsidP="002C0E4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C0E43">
        <w:rPr>
          <w:rFonts w:ascii="Times New Roman" w:hAnsi="Times New Roman" w:cs="Times New Roman"/>
          <w:b/>
          <w:sz w:val="24"/>
        </w:rPr>
        <w:t>Zużycie nawozów mineralnych w wybranych krajach (w mln ton NPK)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1081"/>
        <w:gridCol w:w="1080"/>
        <w:gridCol w:w="1080"/>
        <w:gridCol w:w="1080"/>
        <w:gridCol w:w="1080"/>
        <w:gridCol w:w="1080"/>
        <w:gridCol w:w="1251"/>
      </w:tblGrid>
      <w:tr w:rsidR="002C0E43" w:rsidRPr="002C0E43" w:rsidTr="006F391F">
        <w:trPr>
          <w:trHeight w:val="255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2002-2003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2005-2006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2006-2007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2007-2008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2008-2009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2009-2010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2010-2011 S</w:t>
            </w:r>
          </w:p>
        </w:tc>
      </w:tr>
      <w:tr w:rsidR="002C0E43" w:rsidRPr="002C0E43" w:rsidTr="006F391F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Chiny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46,7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51,2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49,2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2C0E43" w:rsidRPr="002C0E43" w:rsidTr="006F391F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Indie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16,1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21,6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22,6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24,9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28,5</w:t>
            </w:r>
          </w:p>
        </w:tc>
      </w:tr>
      <w:tr w:rsidR="002C0E43" w:rsidRPr="002C0E43" w:rsidTr="006F391F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19,7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16,5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18,9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2C0E43" w:rsidRPr="002C0E43" w:rsidTr="006F391F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UE-27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18,5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13,7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14,9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2C0E43" w:rsidRPr="002C0E43" w:rsidTr="006F391F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Brazylia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2C0E43" w:rsidRPr="002C0E43" w:rsidTr="006F391F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kraje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43,7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43,5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42,7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44,4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43" w:rsidRPr="002C0E43" w:rsidRDefault="002C0E43" w:rsidP="002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46,5</w:t>
            </w:r>
          </w:p>
        </w:tc>
      </w:tr>
    </w:tbl>
    <w:p w:rsidR="002C0E43" w:rsidRDefault="002C0E43" w:rsidP="002C0E43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2C0E43">
        <w:rPr>
          <w:rFonts w:ascii="Times New Roman" w:hAnsi="Times New Roman" w:cs="Times New Roman"/>
          <w:sz w:val="20"/>
          <w:lang w:val="en-US"/>
        </w:rPr>
        <w:t xml:space="preserve">S - </w:t>
      </w:r>
      <w:proofErr w:type="spellStart"/>
      <w:r w:rsidRPr="002C0E43">
        <w:rPr>
          <w:rFonts w:ascii="Times New Roman" w:hAnsi="Times New Roman" w:cs="Times New Roman"/>
          <w:sz w:val="20"/>
          <w:lang w:val="en-US"/>
        </w:rPr>
        <w:t>szacunek</w:t>
      </w:r>
      <w:proofErr w:type="spellEnd"/>
      <w:r w:rsidRPr="002C0E43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2C0E43">
        <w:rPr>
          <w:rFonts w:ascii="Times New Roman" w:hAnsi="Times New Roman" w:cs="Times New Roman"/>
          <w:sz w:val="20"/>
          <w:lang w:val="en-US"/>
        </w:rPr>
        <w:t>IERiGŻ</w:t>
      </w:r>
      <w:proofErr w:type="spellEnd"/>
      <w:r w:rsidRPr="002C0E43">
        <w:rPr>
          <w:rFonts w:ascii="Times New Roman" w:hAnsi="Times New Roman" w:cs="Times New Roman"/>
          <w:sz w:val="20"/>
          <w:lang w:val="en-US"/>
        </w:rPr>
        <w:t>-PIB</w:t>
      </w:r>
      <w:r w:rsidRPr="002C0E43">
        <w:rPr>
          <w:rFonts w:ascii="Times New Roman" w:hAnsi="Times New Roman" w:cs="Times New Roman"/>
          <w:sz w:val="20"/>
          <w:lang w:val="en-US"/>
        </w:rPr>
        <w:tab/>
      </w:r>
      <w:r w:rsidRPr="002C0E43">
        <w:rPr>
          <w:rFonts w:ascii="Times New Roman" w:hAnsi="Times New Roman" w:cs="Times New Roman"/>
          <w:sz w:val="20"/>
          <w:lang w:val="en-US"/>
        </w:rPr>
        <w:br/>
      </w:r>
      <w:proofErr w:type="spellStart"/>
      <w:r w:rsidRPr="002C0E43">
        <w:rPr>
          <w:rFonts w:ascii="Times New Roman" w:hAnsi="Times New Roman" w:cs="Times New Roman"/>
          <w:i/>
          <w:sz w:val="20"/>
          <w:lang w:val="en-US"/>
        </w:rPr>
        <w:t>Źródło</w:t>
      </w:r>
      <w:proofErr w:type="spellEnd"/>
      <w:r w:rsidRPr="002C0E43">
        <w:rPr>
          <w:rFonts w:ascii="Times New Roman" w:hAnsi="Times New Roman" w:cs="Times New Roman"/>
          <w:i/>
          <w:sz w:val="20"/>
          <w:lang w:val="en-US"/>
        </w:rPr>
        <w:t>: Dane International Fertilizer Industry Association.</w:t>
      </w:r>
      <w:r w:rsidRPr="002C0E43">
        <w:rPr>
          <w:rFonts w:ascii="Times New Roman" w:hAnsi="Times New Roman" w:cs="Times New Roman"/>
          <w:b/>
          <w:i/>
          <w:sz w:val="24"/>
          <w:lang w:val="en-US"/>
        </w:rPr>
        <w:tab/>
      </w:r>
      <w:r w:rsidRPr="002C0E43">
        <w:rPr>
          <w:rFonts w:ascii="Times New Roman" w:hAnsi="Times New Roman" w:cs="Times New Roman"/>
          <w:b/>
          <w:sz w:val="24"/>
          <w:lang w:val="en-US"/>
        </w:rPr>
        <w:tab/>
      </w:r>
    </w:p>
    <w:p w:rsidR="00F8221E" w:rsidRPr="00F8221E" w:rsidRDefault="00F8221E" w:rsidP="002C0E43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F8221E">
        <w:rPr>
          <w:rFonts w:ascii="Times New Roman" w:hAnsi="Times New Roman" w:cs="Times New Roman"/>
          <w:b/>
          <w:sz w:val="24"/>
        </w:rPr>
        <w:t>Tabela 8</w:t>
      </w:r>
    </w:p>
    <w:p w:rsidR="00F8221E" w:rsidRDefault="00F8221E" w:rsidP="00F8221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8221E">
        <w:rPr>
          <w:rFonts w:ascii="Times New Roman" w:hAnsi="Times New Roman" w:cs="Times New Roman"/>
          <w:b/>
          <w:sz w:val="24"/>
        </w:rPr>
        <w:t>Średnioroczne ceny podstawowych nawozów mineralnych na światowych rynkach (USD/tonę)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719"/>
        <w:gridCol w:w="719"/>
        <w:gridCol w:w="720"/>
        <w:gridCol w:w="720"/>
        <w:gridCol w:w="720"/>
        <w:gridCol w:w="720"/>
        <w:gridCol w:w="714"/>
      </w:tblGrid>
      <w:tr w:rsidR="00F8221E" w:rsidRPr="00F8221E" w:rsidTr="006F391F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2011</w:t>
            </w:r>
          </w:p>
        </w:tc>
      </w:tr>
      <w:tr w:rsidR="00F8221E" w:rsidRPr="00F8221E" w:rsidTr="006F391F">
        <w:trPr>
          <w:trHeight w:val="255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Fosforan amonu 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619</w:t>
            </w:r>
          </w:p>
        </w:tc>
      </w:tr>
      <w:tr w:rsidR="00F8221E" w:rsidRPr="00F8221E" w:rsidTr="006F391F">
        <w:trPr>
          <w:trHeight w:val="255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Sól potasowa **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</w:tr>
      <w:tr w:rsidR="00F8221E" w:rsidRPr="00F8221E" w:rsidTr="006F391F">
        <w:trPr>
          <w:trHeight w:val="255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Superfosfat potrójny ***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538</w:t>
            </w:r>
          </w:p>
        </w:tc>
      </w:tr>
      <w:tr w:rsidR="00F8221E" w:rsidRPr="00F8221E" w:rsidTr="006F391F">
        <w:trPr>
          <w:trHeight w:val="255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Mocznik ****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</w:t>
            </w:r>
          </w:p>
        </w:tc>
      </w:tr>
      <w:tr w:rsidR="00F8221E" w:rsidRPr="00F8221E" w:rsidTr="006F391F">
        <w:trPr>
          <w:trHeight w:val="255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Indeks zmian cen nawozów (2005=100)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E" w:rsidRPr="00F8221E" w:rsidRDefault="00F8221E" w:rsidP="00F8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</w:tr>
    </w:tbl>
    <w:p w:rsidR="00F8221E" w:rsidRPr="00F8221E" w:rsidRDefault="00F8221E" w:rsidP="00F8221E">
      <w:pPr>
        <w:spacing w:line="360" w:lineRule="auto"/>
        <w:rPr>
          <w:rFonts w:ascii="Times New Roman" w:hAnsi="Times New Roman" w:cs="Times New Roman"/>
          <w:sz w:val="20"/>
        </w:rPr>
      </w:pPr>
      <w:r w:rsidRPr="00F8221E">
        <w:rPr>
          <w:rFonts w:ascii="Times New Roman" w:hAnsi="Times New Roman" w:cs="Times New Roman"/>
          <w:sz w:val="20"/>
        </w:rPr>
        <w:t xml:space="preserve">* notowania fob </w:t>
      </w:r>
      <w:proofErr w:type="spellStart"/>
      <w:r w:rsidRPr="00F8221E">
        <w:rPr>
          <w:rFonts w:ascii="Times New Roman" w:hAnsi="Times New Roman" w:cs="Times New Roman"/>
          <w:sz w:val="20"/>
        </w:rPr>
        <w:t>Yuzhnyy</w:t>
      </w:r>
      <w:proofErr w:type="spellEnd"/>
      <w:r w:rsidRPr="00F8221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br/>
        <w:t>** notowania fob Vancouver</w:t>
      </w:r>
      <w:r>
        <w:rPr>
          <w:rFonts w:ascii="Times New Roman" w:hAnsi="Times New Roman" w:cs="Times New Roman"/>
          <w:sz w:val="20"/>
        </w:rPr>
        <w:br/>
        <w:t>*** notowania fob Tunis</w:t>
      </w:r>
      <w:r>
        <w:rPr>
          <w:rFonts w:ascii="Times New Roman" w:hAnsi="Times New Roman" w:cs="Times New Roman"/>
          <w:sz w:val="20"/>
        </w:rPr>
        <w:br/>
        <w:t xml:space="preserve">**** notowania fob US </w:t>
      </w:r>
      <w:proofErr w:type="spellStart"/>
      <w:r>
        <w:rPr>
          <w:rFonts w:ascii="Times New Roman" w:hAnsi="Times New Roman" w:cs="Times New Roman"/>
          <w:sz w:val="20"/>
        </w:rPr>
        <w:t>Gulf</w:t>
      </w:r>
      <w:proofErr w:type="spellEnd"/>
      <w:r>
        <w:rPr>
          <w:rFonts w:ascii="Times New Roman" w:hAnsi="Times New Roman" w:cs="Times New Roman"/>
          <w:sz w:val="20"/>
        </w:rPr>
        <w:br/>
      </w:r>
      <w:r w:rsidRPr="00F8221E">
        <w:rPr>
          <w:rFonts w:ascii="Times New Roman" w:hAnsi="Times New Roman" w:cs="Times New Roman"/>
          <w:i/>
          <w:sz w:val="20"/>
        </w:rPr>
        <w:t>Źródło: Na podstawie danych Banku Światowego</w:t>
      </w:r>
      <w:r w:rsidRPr="00F8221E">
        <w:rPr>
          <w:rFonts w:ascii="Times New Roman" w:hAnsi="Times New Roman" w:cs="Times New Roman"/>
          <w:i/>
          <w:sz w:val="20"/>
        </w:rPr>
        <w:tab/>
      </w:r>
      <w:r w:rsidRPr="00F8221E">
        <w:rPr>
          <w:rFonts w:ascii="Times New Roman" w:hAnsi="Times New Roman" w:cs="Times New Roman"/>
          <w:sz w:val="20"/>
        </w:rPr>
        <w:tab/>
      </w:r>
      <w:r w:rsidRPr="00F8221E">
        <w:rPr>
          <w:rFonts w:ascii="Times New Roman" w:hAnsi="Times New Roman" w:cs="Times New Roman"/>
          <w:sz w:val="20"/>
        </w:rPr>
        <w:tab/>
      </w:r>
    </w:p>
    <w:p w:rsidR="00D635DC" w:rsidRDefault="00D635DC" w:rsidP="004E6929">
      <w:pPr>
        <w:spacing w:line="360" w:lineRule="auto"/>
        <w:rPr>
          <w:rFonts w:ascii="Times New Roman" w:hAnsi="Times New Roman" w:cs="Times New Roman"/>
          <w:sz w:val="24"/>
        </w:rPr>
      </w:pPr>
      <w:r w:rsidRPr="00F8221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Globalne zużycie nawozów mineralnych w 2011/12r prawdopodobnie zwiększy się. Duży wpływ na tempo zmian zużycia będzie miała koniunktura na światowych rynkach rolnych, jednak przewiduje się, że globalne zużycie wzrośnie o około 3%, w tym nawozów potasowych o ponad 5%, azotowych o 3%, a fosforowych o 1%.</w:t>
      </w:r>
    </w:p>
    <w:p w:rsidR="00D635DC" w:rsidRDefault="00D635DC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Motorem wzrostu zapotrzebowania na nawozy w skali globalnej będzie stale rosnący popyt w krajach rozwijających się, głównie w Południowo – Wschodniej Azji, gdzie zużywa się blisko 60% nawozów. Stale rosnące potrzeby żywieniowe ludności w tych krajach będą stymulowały dalsze zwiększanie intensyfikacji rolnictwa w warunkach ograniczonej dostępności ziemi niezbędnej do upraw rolniczych.</w:t>
      </w:r>
    </w:p>
    <w:p w:rsidR="002A3796" w:rsidRDefault="002A3796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BA0684" w:rsidRDefault="00BA0684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BA0684" w:rsidRDefault="00BA0684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456E56" w:rsidRDefault="00456E56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Rys.</w:t>
      </w:r>
      <w:r w:rsidR="006640ED">
        <w:rPr>
          <w:rFonts w:ascii="Times New Roman" w:hAnsi="Times New Roman" w:cs="Times New Roman"/>
          <w:b/>
          <w:sz w:val="24"/>
        </w:rPr>
        <w:t xml:space="preserve"> 3</w:t>
      </w:r>
    </w:p>
    <w:p w:rsidR="00456E56" w:rsidRDefault="00456E56" w:rsidP="00456E5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56E56">
        <w:rPr>
          <w:rFonts w:ascii="Times New Roman" w:hAnsi="Times New Roman" w:cs="Times New Roman"/>
          <w:b/>
          <w:sz w:val="24"/>
        </w:rPr>
        <w:t>Struktura wydobycia fosforytów i soli potasowej na świecie</w:t>
      </w:r>
    </w:p>
    <w:p w:rsidR="00456E56" w:rsidRDefault="00456E56" w:rsidP="00456E5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pl-PL"/>
        </w:rPr>
        <w:drawing>
          <wp:inline distT="0" distB="0" distL="0" distR="0" wp14:anchorId="6D548CF1" wp14:editId="79F9964B">
            <wp:extent cx="4429124" cy="3333749"/>
            <wp:effectExtent l="0" t="0" r="10160" b="1968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0684" w:rsidRDefault="00BA0684" w:rsidP="00456E5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A0684" w:rsidRDefault="00BA0684" w:rsidP="00456E5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56E56" w:rsidRDefault="00456E56" w:rsidP="00456E5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pl-PL"/>
        </w:rPr>
        <w:drawing>
          <wp:inline distT="0" distB="0" distL="0" distR="0" wp14:anchorId="60D29E8E" wp14:editId="6E8405B9">
            <wp:extent cx="4410075" cy="3348037"/>
            <wp:effectExtent l="0" t="0" r="9525" b="2413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0684" w:rsidRDefault="00BA0684" w:rsidP="00BA0684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BA0684" w:rsidRDefault="00BA0684" w:rsidP="00BA0684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BA0684" w:rsidRDefault="00BA0684" w:rsidP="00BA0684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Rys. 3</w:t>
      </w:r>
    </w:p>
    <w:p w:rsidR="00BA0684" w:rsidRDefault="00BA0684" w:rsidP="00BA068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56E56">
        <w:rPr>
          <w:rFonts w:ascii="Times New Roman" w:hAnsi="Times New Roman" w:cs="Times New Roman"/>
          <w:b/>
          <w:sz w:val="24"/>
        </w:rPr>
        <w:t>Struktura wydobycia fosforytów i soli potasowej na świecie</w:t>
      </w:r>
    </w:p>
    <w:p w:rsidR="00456E56" w:rsidRDefault="00456E56" w:rsidP="00456E5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pl-PL"/>
        </w:rPr>
        <w:drawing>
          <wp:inline distT="0" distB="0" distL="0" distR="0" wp14:anchorId="404371E3" wp14:editId="00B5A704">
            <wp:extent cx="4419600" cy="3476625"/>
            <wp:effectExtent l="0" t="0" r="19050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0684" w:rsidRDefault="00BA0684" w:rsidP="00456E5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A0684" w:rsidRDefault="00BA0684" w:rsidP="00456E5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56E56" w:rsidRDefault="00456E56" w:rsidP="00456E5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pl-PL"/>
        </w:rPr>
        <w:drawing>
          <wp:inline distT="0" distB="0" distL="0" distR="0" wp14:anchorId="7B758446" wp14:editId="1D86BEEE">
            <wp:extent cx="4429125" cy="3509962"/>
            <wp:effectExtent l="0" t="0" r="9525" b="1460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0684" w:rsidRPr="00456E56" w:rsidRDefault="00BA0684" w:rsidP="00456E5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A0684" w:rsidRDefault="00BA0684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635DC" w:rsidRDefault="00113BD7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</w:t>
      </w:r>
      <w:r w:rsidR="00E82B15">
        <w:rPr>
          <w:rFonts w:ascii="Times New Roman" w:hAnsi="Times New Roman" w:cs="Times New Roman"/>
          <w:b/>
          <w:sz w:val="24"/>
        </w:rPr>
        <w:t>.3</w:t>
      </w:r>
      <w:r w:rsidR="00D635DC">
        <w:rPr>
          <w:rFonts w:ascii="Times New Roman" w:hAnsi="Times New Roman" w:cs="Times New Roman"/>
          <w:b/>
          <w:sz w:val="24"/>
        </w:rPr>
        <w:t xml:space="preserve"> </w:t>
      </w:r>
      <w:r w:rsidR="00456E56">
        <w:rPr>
          <w:rFonts w:ascii="Times New Roman" w:hAnsi="Times New Roman" w:cs="Times New Roman"/>
          <w:b/>
          <w:sz w:val="24"/>
        </w:rPr>
        <w:t>C</w:t>
      </w:r>
      <w:r w:rsidR="00D635DC">
        <w:rPr>
          <w:rFonts w:ascii="Times New Roman" w:hAnsi="Times New Roman" w:cs="Times New Roman"/>
          <w:b/>
          <w:sz w:val="24"/>
        </w:rPr>
        <w:t>eny nawozów mineralnych.</w:t>
      </w:r>
    </w:p>
    <w:p w:rsidR="00D635DC" w:rsidRDefault="00D635DC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 ostatnich latach obserwowany jest permanentny wzrost cen większości surowców rolnych, który bezpośrednio stymuluje ceny najważniejszych środków produkcji, głównie nawozów mineralnych. Wzrost cen w rolnictwie wywołują także rosnące koszty produkcji (wyższe ceny bezpośrednich nośników energii), ograniczona dostępność ziemi oraz wyraźny wzrost aktywności sektora finansowego na rynku surowców rolnych (artykuły rolno-żywnościowe stały się obiektem zainteresowania </w:t>
      </w:r>
      <w:r w:rsidR="000D3D5C">
        <w:rPr>
          <w:rFonts w:ascii="Times New Roman" w:hAnsi="Times New Roman" w:cs="Times New Roman"/>
          <w:sz w:val="24"/>
        </w:rPr>
        <w:t>kapitału spekulacyjnego).</w:t>
      </w:r>
    </w:p>
    <w:p w:rsidR="008450C3" w:rsidRDefault="008450C3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 2011r korzystna koniunktura na światowych rynkach rolnych i towarzyszący jej ponad 20% wzrost cen żywności (w tym blisko 40% wzrost cen zbóż) spowodowały, że średnie ceny nawozów mineralnych wzrosły o 43% w porównaniu z 2010r. Największy wpływ na wysoki wzrost cen miała podwyżka cen mocznika, który podrożał o 46% w porównaniu z 2010r. Wzrost cen fosforytów (o 50%) spowodował podrożenie superfosfatu potrójnego (o 41%). Niewiele mniej podrożał fosforan amonu (o 24%) oraz sól potasowa (o 31%).</w:t>
      </w:r>
    </w:p>
    <w:p w:rsidR="008450C3" w:rsidRDefault="008450C3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Od początku 2010r ceny nawozów mineralnych na światowych rynkach systematycznie rosły, a największą dynamikę wzrostu odnotowano w II kwartale 2011r. W II kwartale 2011r dynamika ta mocno się osłabiła, a IV kwartał przyniósł wyraźne obniżki, a ceny powróciły do poziomu z maja 2011r. W rezultacie średnie ceny nawozów mineralnych w grudniu 2011r były o 19% wyższe w porównaniu do analogicznego okresu poprzedniego roku, w tym mocznik potaniał o 6%, fosforan amonu o 3%, natomiast sól potasowa podrożała o 34%, a superfosfat potrójny o 12%.</w:t>
      </w:r>
    </w:p>
    <w:p w:rsidR="008450C3" w:rsidRDefault="008450C3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Prognozuje się, że w 2012r średnie ceny nawozów mineralnych na światowych rynkach pozostaną na poziomie 2011r względnie nieznacznie wzrosną. Z jednej strony szybko rosnący popyt na nawozy mineralne, stymulowany przez wzrost światowego zapotrzebowania na żywność, będzie motorem wzrostu cen, Z drugiej strony rozbudowa potencjału produkcyjnego w ostatnich latach spowodowała zwiększenie i powstanie okresowych nadwyżek podaży co wpływa z kolei na ustabilizowanie cen, a nawet ich obniżki. Dokonująca się na rynku gazu ziemnego :rewolucja łupkowa” może w przyszłości poważnie zachwiać rynkiem i wpłynąć na obniżenie cen gazu, co w sposób oczywisty przełoży się na ceny nawozów azotowych.</w:t>
      </w:r>
    </w:p>
    <w:p w:rsidR="00DF00F6" w:rsidRDefault="00113BD7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E82B15">
        <w:rPr>
          <w:rFonts w:ascii="Times New Roman" w:hAnsi="Times New Roman" w:cs="Times New Roman"/>
          <w:b/>
          <w:sz w:val="24"/>
        </w:rPr>
        <w:t>.4</w:t>
      </w:r>
      <w:r w:rsidR="00DF00F6">
        <w:rPr>
          <w:rFonts w:ascii="Times New Roman" w:hAnsi="Times New Roman" w:cs="Times New Roman"/>
          <w:b/>
          <w:sz w:val="24"/>
        </w:rPr>
        <w:t xml:space="preserve"> Zmiany zużycia nawozów mineralnych w Unii Europejskiej.</w:t>
      </w:r>
    </w:p>
    <w:p w:rsidR="00DF00F6" w:rsidRDefault="00DF00F6" w:rsidP="002A379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Poprawa sytuacji makroekonomicznej oraz polepszenie koniunktury na podstawowych rynkach rolnych w sezonie 2009/10 spowodowały </w:t>
      </w:r>
      <w:r w:rsidR="00980C87">
        <w:rPr>
          <w:rFonts w:ascii="Times New Roman" w:hAnsi="Times New Roman" w:cs="Times New Roman"/>
          <w:sz w:val="24"/>
        </w:rPr>
        <w:t xml:space="preserve">zwiększony popyt na nawozy mineralne. Zużycie nawozów mineralnych wzrosło o blisko 9% w porównaniu z 20008/09r. Relatywnie wysoki wzrost nawożenia to również efekt odbudowywania popytu po głębokim spadku </w:t>
      </w:r>
      <w:r w:rsidR="00980C87">
        <w:rPr>
          <w:rFonts w:ascii="Times New Roman" w:hAnsi="Times New Roman" w:cs="Times New Roman"/>
          <w:sz w:val="24"/>
        </w:rPr>
        <w:lastRenderedPageBreak/>
        <w:t>nawożenia w sezonie 2008/09, który wyniósł aż 25% w porównaniu z sezonem 2007/08. Zużycie nawozów w krajach UE-15 wzrosło o 11%, a w UE-12 o zaledwie 3%, co wynikało z faktu, że w 2008/09r spadek nawożenia mineralnego w krajach UE-15 był znacznie głębszy.</w:t>
      </w:r>
    </w:p>
    <w:p w:rsidR="00220686" w:rsidRDefault="00220686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Zwiększenie nawożenia mineralnego w 2009/10r to przede wszystkim rezultat wyższego nawożenia fosforowego i potasowego, których w sezonie 2008/09 stosowano średnio o połowę mniej niż w rekordowym sezonie 2007/08. Zużycie nawozów fosforowych w sezonie 2009/10 wzrosło o blisko 30%, a potasowych o 23%. Nieznacznie, bo o niespełna 3% wzrosło zużycie nawozów azotowych. Na wzrost zużycia nawozów fosforowych największy wpływ miało zwiększenie nawożenia tym składnikiem we Francji o 65% oraz w Hiszpanii o ponad 100%. Natomiast wzrost zużycia nawozów potasowych wynikał głównie ze zwiększonego ponad 2-krotnie większego nawożenia potasem w Niemczech oraz o ponad 70% we Francji.</w:t>
      </w:r>
    </w:p>
    <w:p w:rsidR="00220686" w:rsidRDefault="00220686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Poziom nawożenia mineralnego w sezonie 2009/10r w UE-27 wzrósł o 9,6% do 80kg NPK/ha UR, przy czym w krajach UE-15 zwiększył się o 12,0% do 84kg NPK/ha UR, w krajach UE-12 o 2,9% do 72kg NPK/ha UR. Najwyższe jednostkowe zużycie nawozów mineralnych od wielu lat występuje w krajach Beneluksu, które mają duży udział upraw intensywnych w strukturze zasiewów. W 2009/10r zużycie NPK w tych krajach wyniosło ponad 170kg NPK/ha UR. Relatywnie wysoki poziom nawożenia (na poziomie około 120kg) odnotowano również w Niemczech, Irlandii i w Polsce. W pozostałych krajach UE-27 zużycie NPK nie przekroczyło 100kg NPK/ha UR. Najniższe zużycie NPK odnotowano w Rumunii, Portugalii i na Łotwie (około 30kg/ha UR).</w:t>
      </w:r>
    </w:p>
    <w:p w:rsidR="00D5480C" w:rsidRDefault="00D5480C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Tabela 9</w:t>
      </w:r>
    </w:p>
    <w:p w:rsidR="00D5480C" w:rsidRDefault="00D5480C" w:rsidP="00D5480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5480C">
        <w:rPr>
          <w:rFonts w:ascii="Times New Roman" w:hAnsi="Times New Roman" w:cs="Times New Roman"/>
          <w:b/>
          <w:sz w:val="24"/>
        </w:rPr>
        <w:t>Zużycie nawozów mineralnych w Unii Europejskiej (w mln ton NPK)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7"/>
        <w:gridCol w:w="1036"/>
        <w:gridCol w:w="1037"/>
        <w:gridCol w:w="1037"/>
        <w:gridCol w:w="1037"/>
        <w:gridCol w:w="1037"/>
        <w:gridCol w:w="1037"/>
        <w:gridCol w:w="1035"/>
      </w:tblGrid>
      <w:tr w:rsidR="00D5480C" w:rsidRPr="00D5480C" w:rsidTr="006F391F">
        <w:trPr>
          <w:trHeight w:val="300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2002-2003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2005-2006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2006-2007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2007-2008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2008-2009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2009-2010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2010-2011</w:t>
            </w:r>
          </w:p>
        </w:tc>
      </w:tr>
      <w:tr w:rsidR="00D5480C" w:rsidRPr="00D5480C" w:rsidTr="006F391F">
        <w:trPr>
          <w:trHeight w:val="3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UE-27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D5480C" w:rsidRPr="00D5480C" w:rsidTr="006F391F">
        <w:trPr>
          <w:trHeight w:val="3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UE-15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D5480C" w:rsidRPr="00D5480C" w:rsidTr="006F391F">
        <w:trPr>
          <w:trHeight w:val="3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Francja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3,2</w:t>
            </w:r>
          </w:p>
        </w:tc>
      </w:tr>
      <w:tr w:rsidR="00D5480C" w:rsidRPr="00D5480C" w:rsidTr="006F391F">
        <w:trPr>
          <w:trHeight w:val="3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Niemcy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2,4</w:t>
            </w:r>
          </w:p>
        </w:tc>
      </w:tr>
      <w:tr w:rsidR="00D5480C" w:rsidRPr="00D5480C" w:rsidTr="006F391F">
        <w:trPr>
          <w:trHeight w:val="3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Wielka Brytania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1,6</w:t>
            </w:r>
          </w:p>
        </w:tc>
      </w:tr>
      <w:tr w:rsidR="00D5480C" w:rsidRPr="00D5480C" w:rsidTr="006F391F">
        <w:trPr>
          <w:trHeight w:val="3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Hiszpania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1,6</w:t>
            </w:r>
          </w:p>
        </w:tc>
      </w:tr>
      <w:tr w:rsidR="00D5480C" w:rsidRPr="00D5480C" w:rsidTr="006F391F">
        <w:trPr>
          <w:trHeight w:val="3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1,1</w:t>
            </w:r>
          </w:p>
        </w:tc>
      </w:tr>
      <w:tr w:rsidR="00D5480C" w:rsidRPr="00D5480C" w:rsidTr="006F391F">
        <w:trPr>
          <w:trHeight w:val="3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UE-12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5480C" w:rsidRPr="00D5480C" w:rsidTr="006F391F">
        <w:trPr>
          <w:trHeight w:val="3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5480C" w:rsidRPr="00D5480C" w:rsidTr="006F391F">
        <w:trPr>
          <w:trHeight w:val="3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Węgry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</w:t>
            </w:r>
          </w:p>
        </w:tc>
      </w:tr>
      <w:tr w:rsidR="00D5480C" w:rsidRPr="00D5480C" w:rsidTr="006F391F">
        <w:trPr>
          <w:trHeight w:val="3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Czechy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</w:t>
            </w:r>
          </w:p>
        </w:tc>
      </w:tr>
      <w:tr w:rsidR="00D5480C" w:rsidRPr="00D5480C" w:rsidTr="006F391F">
        <w:trPr>
          <w:trHeight w:val="3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Rumunia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</w:t>
            </w:r>
          </w:p>
        </w:tc>
      </w:tr>
    </w:tbl>
    <w:p w:rsidR="00D5480C" w:rsidRDefault="00D5480C" w:rsidP="00D5480C">
      <w:pPr>
        <w:spacing w:line="360" w:lineRule="auto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D5480C">
        <w:rPr>
          <w:rFonts w:ascii="Times New Roman" w:hAnsi="Times New Roman" w:cs="Times New Roman"/>
          <w:i/>
          <w:sz w:val="20"/>
          <w:lang w:val="en-US"/>
        </w:rPr>
        <w:t>Źródło</w:t>
      </w:r>
      <w:proofErr w:type="spellEnd"/>
      <w:r w:rsidRPr="00D5480C">
        <w:rPr>
          <w:rFonts w:ascii="Times New Roman" w:hAnsi="Times New Roman" w:cs="Times New Roman"/>
          <w:i/>
          <w:sz w:val="20"/>
          <w:lang w:val="en-US"/>
        </w:rPr>
        <w:t xml:space="preserve">: Dane International Fertilizer Industry </w:t>
      </w:r>
      <w:proofErr w:type="spellStart"/>
      <w:r w:rsidRPr="00D5480C">
        <w:rPr>
          <w:rFonts w:ascii="Times New Roman" w:hAnsi="Times New Roman" w:cs="Times New Roman"/>
          <w:i/>
          <w:sz w:val="20"/>
          <w:lang w:val="en-US"/>
        </w:rPr>
        <w:t>Association.Fertilizers</w:t>
      </w:r>
      <w:proofErr w:type="spellEnd"/>
      <w:r w:rsidRPr="00D5480C">
        <w:rPr>
          <w:rFonts w:ascii="Times New Roman" w:hAnsi="Times New Roman" w:cs="Times New Roman"/>
          <w:i/>
          <w:sz w:val="20"/>
          <w:lang w:val="en-US"/>
        </w:rPr>
        <w:t xml:space="preserve"> Europe.</w:t>
      </w:r>
      <w:r w:rsidRPr="00D5480C">
        <w:rPr>
          <w:rFonts w:ascii="Times New Roman" w:hAnsi="Times New Roman" w:cs="Times New Roman"/>
          <w:i/>
          <w:sz w:val="24"/>
          <w:lang w:val="en-US"/>
        </w:rPr>
        <w:tab/>
      </w:r>
    </w:p>
    <w:p w:rsidR="00BA0684" w:rsidRDefault="00BA0684" w:rsidP="00D5480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5480C" w:rsidRPr="00D5480C" w:rsidRDefault="00D5480C" w:rsidP="00D5480C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5480C">
        <w:rPr>
          <w:rFonts w:ascii="Times New Roman" w:hAnsi="Times New Roman" w:cs="Times New Roman"/>
          <w:b/>
          <w:sz w:val="24"/>
        </w:rPr>
        <w:lastRenderedPageBreak/>
        <w:t>Tabela 10</w:t>
      </w:r>
    </w:p>
    <w:p w:rsidR="00D5480C" w:rsidRDefault="00D5480C" w:rsidP="00D5480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5480C">
        <w:rPr>
          <w:rFonts w:ascii="Times New Roman" w:hAnsi="Times New Roman" w:cs="Times New Roman"/>
          <w:b/>
          <w:sz w:val="24"/>
        </w:rPr>
        <w:t>Zużycie nawozów mineralnych w krajach UE-27 w kg czystego składnika na 1 ha UR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F391F" w:rsidRPr="00D5480C" w:rsidTr="006F391F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1F" w:rsidRPr="00D5480C" w:rsidRDefault="006F391F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Kraje UE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1F" w:rsidRPr="006F391F" w:rsidRDefault="006F391F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Ogółem</w:t>
            </w:r>
          </w:p>
          <w:p w:rsidR="006F391F" w:rsidRPr="00D5480C" w:rsidRDefault="006F391F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1F" w:rsidRPr="006F391F" w:rsidRDefault="006F391F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azotowe</w:t>
            </w:r>
          </w:p>
          <w:p w:rsidR="006F391F" w:rsidRPr="00D5480C" w:rsidRDefault="006F391F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1F" w:rsidRPr="006F391F" w:rsidRDefault="006F391F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fosforowe</w:t>
            </w:r>
          </w:p>
          <w:p w:rsidR="006F391F" w:rsidRPr="00D5480C" w:rsidRDefault="006F391F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1F" w:rsidRPr="006F391F" w:rsidRDefault="006F391F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potasowe</w:t>
            </w:r>
          </w:p>
          <w:p w:rsidR="006F391F" w:rsidRPr="00D5480C" w:rsidRDefault="006F391F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5480C" w:rsidRPr="00D5480C" w:rsidTr="006F391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0C" w:rsidRPr="00D5480C" w:rsidRDefault="00D5480C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0C" w:rsidRPr="00D5480C" w:rsidRDefault="00D5480C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2008-2009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0C" w:rsidRPr="00D5480C" w:rsidRDefault="00D5480C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2009-2010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0C" w:rsidRPr="00D5480C" w:rsidRDefault="00D5480C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2008-2009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0C" w:rsidRPr="00D5480C" w:rsidRDefault="00D5480C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2009-2010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0C" w:rsidRPr="00D5480C" w:rsidRDefault="00D5480C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2008-2009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0C" w:rsidRPr="00D5480C" w:rsidRDefault="00D5480C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2009-2010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0C" w:rsidRPr="00D5480C" w:rsidRDefault="00D5480C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2008-2009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0C" w:rsidRPr="00D5480C" w:rsidRDefault="00D5480C" w:rsidP="006F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2009-2010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Belgia, Luksemburg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Holandia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Niemcy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Irlandia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Francja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Finlandia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Wielka Brytania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Słowenia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Republika Czeska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Szwecja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Litwa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Grecja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Węgry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Słowacja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Estonia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Bułgaria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Hiszpania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Austria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Rumunia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Portugalia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Łotwa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Średnio w UE-27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Średnio w UE-15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D5480C" w:rsidRPr="00D5480C" w:rsidTr="00D5480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Średnio w UE-12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80C" w:rsidRPr="00D5480C" w:rsidRDefault="00D5480C" w:rsidP="00D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</w:tbl>
    <w:p w:rsidR="00D5480C" w:rsidRPr="00D5480C" w:rsidRDefault="00D5480C" w:rsidP="00D5480C">
      <w:pPr>
        <w:spacing w:line="360" w:lineRule="auto"/>
        <w:rPr>
          <w:rFonts w:ascii="Times New Roman" w:hAnsi="Times New Roman" w:cs="Times New Roman"/>
          <w:i/>
          <w:sz w:val="20"/>
        </w:rPr>
      </w:pPr>
      <w:proofErr w:type="spellStart"/>
      <w:r w:rsidRPr="006F391F">
        <w:rPr>
          <w:rFonts w:ascii="Times New Roman" w:hAnsi="Times New Roman" w:cs="Times New Roman"/>
          <w:i/>
          <w:sz w:val="20"/>
          <w:lang w:val="en-US"/>
        </w:rPr>
        <w:t>Źródło</w:t>
      </w:r>
      <w:proofErr w:type="spellEnd"/>
      <w:r w:rsidRPr="006F391F">
        <w:rPr>
          <w:rFonts w:ascii="Times New Roman" w:hAnsi="Times New Roman" w:cs="Times New Roman"/>
          <w:i/>
          <w:sz w:val="20"/>
          <w:lang w:val="en-US"/>
        </w:rPr>
        <w:t xml:space="preserve">: Dane International Fertilizer Industry Association. </w:t>
      </w:r>
      <w:proofErr w:type="spellStart"/>
      <w:r w:rsidRPr="00D5480C">
        <w:rPr>
          <w:rFonts w:ascii="Times New Roman" w:hAnsi="Times New Roman" w:cs="Times New Roman"/>
          <w:i/>
          <w:sz w:val="20"/>
        </w:rPr>
        <w:t>Fertilizers</w:t>
      </w:r>
      <w:proofErr w:type="spellEnd"/>
      <w:r w:rsidRPr="00D5480C">
        <w:rPr>
          <w:rFonts w:ascii="Times New Roman" w:hAnsi="Times New Roman" w:cs="Times New Roman"/>
          <w:i/>
          <w:sz w:val="20"/>
        </w:rPr>
        <w:t xml:space="preserve"> Europe.</w:t>
      </w:r>
      <w:r w:rsidRPr="00D5480C">
        <w:rPr>
          <w:rFonts w:ascii="Times New Roman" w:hAnsi="Times New Roman" w:cs="Times New Roman"/>
          <w:i/>
          <w:sz w:val="20"/>
        </w:rPr>
        <w:tab/>
      </w:r>
      <w:r w:rsidRPr="00D5480C">
        <w:rPr>
          <w:rFonts w:ascii="Times New Roman" w:hAnsi="Times New Roman" w:cs="Times New Roman"/>
          <w:i/>
          <w:sz w:val="20"/>
        </w:rPr>
        <w:tab/>
      </w:r>
      <w:r w:rsidRPr="00D5480C">
        <w:rPr>
          <w:rFonts w:ascii="Times New Roman" w:hAnsi="Times New Roman" w:cs="Times New Roman"/>
          <w:i/>
          <w:sz w:val="20"/>
        </w:rPr>
        <w:tab/>
      </w:r>
    </w:p>
    <w:p w:rsidR="00435BF5" w:rsidRDefault="00113BD7" w:rsidP="004E692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="00E82B15">
        <w:rPr>
          <w:rFonts w:ascii="Times New Roman" w:hAnsi="Times New Roman" w:cs="Times New Roman"/>
          <w:b/>
          <w:sz w:val="24"/>
        </w:rPr>
        <w:t>BIBLIOGRAFIA</w:t>
      </w:r>
      <w:r w:rsidR="00435BF5">
        <w:rPr>
          <w:rFonts w:ascii="Times New Roman" w:hAnsi="Times New Roman" w:cs="Times New Roman"/>
          <w:b/>
          <w:sz w:val="24"/>
        </w:rPr>
        <w:t>:</w:t>
      </w:r>
    </w:p>
    <w:p w:rsidR="00F377E4" w:rsidRPr="002A3796" w:rsidRDefault="00435BF5" w:rsidP="004E692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52CC3">
        <w:rPr>
          <w:rFonts w:ascii="Times New Roman" w:hAnsi="Times New Roman" w:cs="Times New Roman"/>
          <w:sz w:val="24"/>
        </w:rPr>
        <w:t>Analizy Rynkowe pt.: „Rynek środków produkcji dla rolnictwa. Stan i perspektywy.” Marzec 2012r</w:t>
      </w:r>
    </w:p>
    <w:sectPr w:rsidR="00F377E4" w:rsidRPr="002A3796" w:rsidSect="00757882">
      <w:footerReference w:type="default" r:id="rId15"/>
      <w:pgSz w:w="11906" w:h="16838"/>
      <w:pgMar w:top="851" w:right="851" w:bottom="851" w:left="851" w:header="709" w:footer="280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FB" w:rsidRDefault="00741AFB" w:rsidP="006D27EF">
      <w:pPr>
        <w:spacing w:after="0" w:line="240" w:lineRule="auto"/>
      </w:pPr>
      <w:r>
        <w:separator/>
      </w:r>
    </w:p>
  </w:endnote>
  <w:endnote w:type="continuationSeparator" w:id="0">
    <w:p w:rsidR="00741AFB" w:rsidRDefault="00741AFB" w:rsidP="006D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845675"/>
      <w:docPartObj>
        <w:docPartGallery w:val="Page Numbers (Bottom of Page)"/>
        <w:docPartUnique/>
      </w:docPartObj>
    </w:sdtPr>
    <w:sdtEndPr/>
    <w:sdtContent>
      <w:p w:rsidR="00757882" w:rsidRDefault="007578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203">
          <w:rPr>
            <w:noProof/>
          </w:rPr>
          <w:t>1</w:t>
        </w:r>
        <w:r>
          <w:fldChar w:fldCharType="end"/>
        </w:r>
      </w:p>
    </w:sdtContent>
  </w:sdt>
  <w:p w:rsidR="00757882" w:rsidRDefault="00757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FB" w:rsidRDefault="00741AFB" w:rsidP="006D27EF">
      <w:pPr>
        <w:spacing w:after="0" w:line="240" w:lineRule="auto"/>
      </w:pPr>
      <w:r>
        <w:separator/>
      </w:r>
    </w:p>
  </w:footnote>
  <w:footnote w:type="continuationSeparator" w:id="0">
    <w:p w:rsidR="00741AFB" w:rsidRDefault="00741AFB" w:rsidP="006D2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338D5"/>
    <w:multiLevelType w:val="hybridMultilevel"/>
    <w:tmpl w:val="BD7A6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50"/>
    <w:rsid w:val="000D3D5C"/>
    <w:rsid w:val="00113BD7"/>
    <w:rsid w:val="00167CCD"/>
    <w:rsid w:val="001A00A9"/>
    <w:rsid w:val="001C1BF2"/>
    <w:rsid w:val="001C4650"/>
    <w:rsid w:val="001D3D46"/>
    <w:rsid w:val="001E4ED5"/>
    <w:rsid w:val="00220686"/>
    <w:rsid w:val="00231A65"/>
    <w:rsid w:val="00244047"/>
    <w:rsid w:val="0024522B"/>
    <w:rsid w:val="002868E5"/>
    <w:rsid w:val="002A3796"/>
    <w:rsid w:val="002C0E43"/>
    <w:rsid w:val="002F67E0"/>
    <w:rsid w:val="003A3370"/>
    <w:rsid w:val="003E5245"/>
    <w:rsid w:val="004107B3"/>
    <w:rsid w:val="00416ED1"/>
    <w:rsid w:val="00435BF5"/>
    <w:rsid w:val="00456E56"/>
    <w:rsid w:val="004C5C72"/>
    <w:rsid w:val="004C60C4"/>
    <w:rsid w:val="004E6929"/>
    <w:rsid w:val="005A18FB"/>
    <w:rsid w:val="006640ED"/>
    <w:rsid w:val="006D27EF"/>
    <w:rsid w:val="006F391F"/>
    <w:rsid w:val="007178AB"/>
    <w:rsid w:val="00741AFB"/>
    <w:rsid w:val="00757882"/>
    <w:rsid w:val="007744DD"/>
    <w:rsid w:val="00776370"/>
    <w:rsid w:val="00786221"/>
    <w:rsid w:val="0079397B"/>
    <w:rsid w:val="007E10BC"/>
    <w:rsid w:val="00843531"/>
    <w:rsid w:val="008450C3"/>
    <w:rsid w:val="00846A65"/>
    <w:rsid w:val="00852199"/>
    <w:rsid w:val="00854B9F"/>
    <w:rsid w:val="00874F65"/>
    <w:rsid w:val="00980C87"/>
    <w:rsid w:val="009B1866"/>
    <w:rsid w:val="00A032AF"/>
    <w:rsid w:val="00A910AE"/>
    <w:rsid w:val="00AC5A8F"/>
    <w:rsid w:val="00AF3862"/>
    <w:rsid w:val="00B0765C"/>
    <w:rsid w:val="00B66AFF"/>
    <w:rsid w:val="00BA0684"/>
    <w:rsid w:val="00C90203"/>
    <w:rsid w:val="00CA02A3"/>
    <w:rsid w:val="00CA18E2"/>
    <w:rsid w:val="00CD5F53"/>
    <w:rsid w:val="00CF5F60"/>
    <w:rsid w:val="00D5480C"/>
    <w:rsid w:val="00D635DC"/>
    <w:rsid w:val="00DA00C1"/>
    <w:rsid w:val="00DB0C52"/>
    <w:rsid w:val="00DC1058"/>
    <w:rsid w:val="00DD3623"/>
    <w:rsid w:val="00DF00F6"/>
    <w:rsid w:val="00DF0581"/>
    <w:rsid w:val="00E52CC3"/>
    <w:rsid w:val="00E82B15"/>
    <w:rsid w:val="00F36288"/>
    <w:rsid w:val="00F377E4"/>
    <w:rsid w:val="00F46C38"/>
    <w:rsid w:val="00F75AE7"/>
    <w:rsid w:val="00F7654C"/>
    <w:rsid w:val="00F8221E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7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7EF"/>
    <w:rPr>
      <w:vertAlign w:val="superscript"/>
    </w:rPr>
  </w:style>
  <w:style w:type="table" w:styleId="Tabela-Siatka">
    <w:name w:val="Table Grid"/>
    <w:basedOn w:val="Standardowy"/>
    <w:uiPriority w:val="59"/>
    <w:rsid w:val="00AC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0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882"/>
  </w:style>
  <w:style w:type="paragraph" w:styleId="Stopka">
    <w:name w:val="footer"/>
    <w:basedOn w:val="Normalny"/>
    <w:link w:val="StopkaZnak"/>
    <w:uiPriority w:val="99"/>
    <w:unhideWhenUsed/>
    <w:rsid w:val="0075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882"/>
  </w:style>
  <w:style w:type="paragraph" w:styleId="Akapitzlist">
    <w:name w:val="List Paragraph"/>
    <w:basedOn w:val="Normalny"/>
    <w:uiPriority w:val="34"/>
    <w:qFormat/>
    <w:rsid w:val="00757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7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7EF"/>
    <w:rPr>
      <w:vertAlign w:val="superscript"/>
    </w:rPr>
  </w:style>
  <w:style w:type="table" w:styleId="Tabela-Siatka">
    <w:name w:val="Table Grid"/>
    <w:basedOn w:val="Standardowy"/>
    <w:uiPriority w:val="59"/>
    <w:rsid w:val="00AC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0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882"/>
  </w:style>
  <w:style w:type="paragraph" w:styleId="Stopka">
    <w:name w:val="footer"/>
    <w:basedOn w:val="Normalny"/>
    <w:link w:val="StopkaZnak"/>
    <w:uiPriority w:val="99"/>
    <w:unhideWhenUsed/>
    <w:rsid w:val="0075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882"/>
  </w:style>
  <w:style w:type="paragraph" w:styleId="Akapitzlist">
    <w:name w:val="List Paragraph"/>
    <w:basedOn w:val="Normalny"/>
    <w:uiPriority w:val="34"/>
    <w:qFormat/>
    <w:rsid w:val="00757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pka\Desktop\tabelki%20do%20referatu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pka\Desktop\tabelki%20do%20referatu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pka\Desktop\tabelki%20do%20referatu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pka\Desktop\tabelki%20do%20referat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Times New Roman" pitchFamily="18" charset="0"/>
                <a:cs typeface="Times New Roman" pitchFamily="18" charset="0"/>
              </a:rPr>
              <a:t>Zużycie</a:t>
            </a:r>
            <a:r>
              <a:rPr lang="pl-PL" sz="1200" baseline="0">
                <a:latin typeface="Times New Roman" pitchFamily="18" charset="0"/>
                <a:cs typeface="Times New Roman" pitchFamily="18" charset="0"/>
              </a:rPr>
              <a:t> nawozów mineralnych </a:t>
            </a:r>
            <a:br>
              <a:rPr lang="pl-PL" sz="1200" baseline="0">
                <a:latin typeface="Times New Roman" pitchFamily="18" charset="0"/>
                <a:cs typeface="Times New Roman" pitchFamily="18" charset="0"/>
              </a:rPr>
            </a:br>
            <a:r>
              <a:rPr lang="pl-PL" sz="1200" baseline="0">
                <a:latin typeface="Times New Roman" pitchFamily="18" charset="0"/>
                <a:cs typeface="Times New Roman" pitchFamily="18" charset="0"/>
              </a:rPr>
              <a:t>w kg NPK/ha użytków rolnych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Arkusz1!$B$13</c:f>
              <c:strCache>
                <c:ptCount val="1"/>
                <c:pt idx="0">
                  <c:v>kg</c:v>
                </c:pt>
              </c:strCache>
            </c:strRef>
          </c:tx>
          <c:cat>
            <c:strRef>
              <c:f>Arkusz1!$A$14:$A$22</c:f>
              <c:strCache>
                <c:ptCount val="9"/>
                <c:pt idx="0">
                  <c:v>2003-2004</c:v>
                </c:pt>
                <c:pt idx="1">
                  <c:v>2004-2005</c:v>
                </c:pt>
                <c:pt idx="2">
                  <c:v>2005-2006</c:v>
                </c:pt>
                <c:pt idx="3">
                  <c:v>2006-2007</c:v>
                </c:pt>
                <c:pt idx="4">
                  <c:v>2007-2008</c:v>
                </c:pt>
                <c:pt idx="5">
                  <c:v>2008-2009</c:v>
                </c:pt>
                <c:pt idx="6">
                  <c:v>2009-2010</c:v>
                </c:pt>
                <c:pt idx="7">
                  <c:v>2010-2011</c:v>
                </c:pt>
                <c:pt idx="8">
                  <c:v>2011-2012</c:v>
                </c:pt>
              </c:strCache>
            </c:strRef>
          </c:cat>
          <c:val>
            <c:numRef>
              <c:f>Arkusz1!$B$14:$B$22</c:f>
              <c:numCache>
                <c:formatCode>General</c:formatCode>
                <c:ptCount val="9"/>
                <c:pt idx="0">
                  <c:v>99.3</c:v>
                </c:pt>
                <c:pt idx="1">
                  <c:v>102.4</c:v>
                </c:pt>
                <c:pt idx="2">
                  <c:v>123.3</c:v>
                </c:pt>
                <c:pt idx="3">
                  <c:v>121.8</c:v>
                </c:pt>
                <c:pt idx="4">
                  <c:v>132.6</c:v>
                </c:pt>
                <c:pt idx="5">
                  <c:v>117.9</c:v>
                </c:pt>
                <c:pt idx="6">
                  <c:v>114.7</c:v>
                </c:pt>
                <c:pt idx="7">
                  <c:v>126.4</c:v>
                </c:pt>
                <c:pt idx="8">
                  <c:v>130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78842112"/>
        <c:axId val="78844288"/>
      </c:lineChart>
      <c:catAx>
        <c:axId val="788421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prognoza</a:t>
                </a:r>
              </a:p>
            </c:rich>
          </c:tx>
          <c:layout>
            <c:manualLayout>
              <c:xMode val="edge"/>
              <c:yMode val="edge"/>
              <c:x val="0.85559365118730235"/>
              <c:y val="0.88793963254593178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crossAx val="78844288"/>
        <c:crosses val="autoZero"/>
        <c:auto val="1"/>
        <c:lblAlgn val="ctr"/>
        <c:lblOffset val="100"/>
        <c:noMultiLvlLbl val="0"/>
      </c:catAx>
      <c:valAx>
        <c:axId val="78844288"/>
        <c:scaling>
          <c:orientation val="minMax"/>
          <c:max val="135"/>
          <c:min val="9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l-PL"/>
                  <a:t>kg</a:t>
                </a:r>
              </a:p>
            </c:rich>
          </c:tx>
          <c:layout>
            <c:manualLayout>
              <c:xMode val="edge"/>
              <c:yMode val="edge"/>
              <c:x val="7.0866141732283464E-2"/>
              <c:y val="0.112584572761738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8842112"/>
        <c:crosses val="autoZero"/>
        <c:crossBetween val="between"/>
      </c:valAx>
    </c:plotArea>
    <c:plotVisOnly val="1"/>
    <c:dispBlanksAs val="gap"/>
    <c:showDLblsOverMax val="0"/>
  </c:chart>
  <c:spPr>
    <a:ln w="0"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Fosforyty</a:t>
            </a:r>
            <a:r>
              <a:rPr lang="pl-PL" baseline="0"/>
              <a:t> - </a:t>
            </a:r>
            <a:r>
              <a:rPr lang="pl-PL"/>
              <a:t>2006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Arkusz3!$A$7:$A$11</c:f>
              <c:strCache>
                <c:ptCount val="5"/>
                <c:pt idx="0">
                  <c:v>Chiny </c:v>
                </c:pt>
                <c:pt idx="1">
                  <c:v>USA</c:v>
                </c:pt>
                <c:pt idx="2">
                  <c:v>Maroko</c:v>
                </c:pt>
                <c:pt idx="3">
                  <c:v>Rosja</c:v>
                </c:pt>
                <c:pt idx="4">
                  <c:v>Pozostałe kraje</c:v>
                </c:pt>
              </c:strCache>
            </c:strRef>
          </c:cat>
          <c:val>
            <c:numRef>
              <c:f>Arkusz3!$B$7:$B$11</c:f>
              <c:numCache>
                <c:formatCode>0%</c:formatCode>
                <c:ptCount val="5"/>
                <c:pt idx="0">
                  <c:v>0.22</c:v>
                </c:pt>
                <c:pt idx="1">
                  <c:v>0.21</c:v>
                </c:pt>
                <c:pt idx="2">
                  <c:v>0.19</c:v>
                </c:pt>
                <c:pt idx="3">
                  <c:v>0.08</c:v>
                </c:pt>
                <c:pt idx="4">
                  <c:v>0.3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Fosforyty - 2011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Arkusz3!$G$7:$G$11</c:f>
              <c:strCache>
                <c:ptCount val="5"/>
                <c:pt idx="0">
                  <c:v>Chiny </c:v>
                </c:pt>
                <c:pt idx="1">
                  <c:v>USA</c:v>
                </c:pt>
                <c:pt idx="2">
                  <c:v>Maroko</c:v>
                </c:pt>
                <c:pt idx="3">
                  <c:v>Rosja</c:v>
                </c:pt>
                <c:pt idx="4">
                  <c:v>Pozostałe kraje</c:v>
                </c:pt>
              </c:strCache>
            </c:strRef>
          </c:cat>
          <c:val>
            <c:numRef>
              <c:f>Arkusz3!$H$7:$H$11</c:f>
              <c:numCache>
                <c:formatCode>0%</c:formatCode>
                <c:ptCount val="5"/>
                <c:pt idx="0">
                  <c:v>0.38</c:v>
                </c:pt>
                <c:pt idx="1">
                  <c:v>0.15</c:v>
                </c:pt>
                <c:pt idx="2">
                  <c:v>0.14000000000000001</c:v>
                </c:pt>
                <c:pt idx="3">
                  <c:v>0.06</c:v>
                </c:pt>
                <c:pt idx="4">
                  <c:v>0.27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Sól potasowa - 2006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Arkusz3!$A$29:$A$34</c:f>
              <c:strCache>
                <c:ptCount val="6"/>
                <c:pt idx="0">
                  <c:v>Kanada</c:v>
                </c:pt>
                <c:pt idx="1">
                  <c:v>Rosja </c:v>
                </c:pt>
                <c:pt idx="2">
                  <c:v>Białoruś</c:v>
                </c:pt>
                <c:pt idx="3">
                  <c:v>Chiny</c:v>
                </c:pt>
                <c:pt idx="4">
                  <c:v>Niemcy</c:v>
                </c:pt>
                <c:pt idx="5">
                  <c:v>Pozostałe kraje</c:v>
                </c:pt>
              </c:strCache>
            </c:strRef>
          </c:cat>
          <c:val>
            <c:numRef>
              <c:f>Arkusz3!$B$29:$B$34</c:f>
              <c:numCache>
                <c:formatCode>0%</c:formatCode>
                <c:ptCount val="6"/>
                <c:pt idx="0">
                  <c:v>0.28999999999999998</c:v>
                </c:pt>
                <c:pt idx="1">
                  <c:v>0.22</c:v>
                </c:pt>
                <c:pt idx="2">
                  <c:v>0.19</c:v>
                </c:pt>
                <c:pt idx="3">
                  <c:v>0.02</c:v>
                </c:pt>
                <c:pt idx="4">
                  <c:v>0.12</c:v>
                </c:pt>
                <c:pt idx="5">
                  <c:v>0.16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Sól potasowa - 2011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Arkusz3!$H$29:$H$34</c:f>
              <c:strCache>
                <c:ptCount val="6"/>
                <c:pt idx="0">
                  <c:v>Kanada</c:v>
                </c:pt>
                <c:pt idx="1">
                  <c:v>Rosja </c:v>
                </c:pt>
                <c:pt idx="2">
                  <c:v>Białoruś</c:v>
                </c:pt>
                <c:pt idx="3">
                  <c:v>Chiny</c:v>
                </c:pt>
                <c:pt idx="4">
                  <c:v>Niemcy</c:v>
                </c:pt>
                <c:pt idx="5">
                  <c:v>Pozostałe kraje</c:v>
                </c:pt>
              </c:strCache>
            </c:strRef>
          </c:cat>
          <c:val>
            <c:numRef>
              <c:f>Arkusz3!$I$29:$I$34</c:f>
              <c:numCache>
                <c:formatCode>0%</c:formatCode>
                <c:ptCount val="6"/>
                <c:pt idx="0">
                  <c:v>0.3</c:v>
                </c:pt>
                <c:pt idx="1">
                  <c:v>0.2</c:v>
                </c:pt>
                <c:pt idx="2">
                  <c:v>0.15</c:v>
                </c:pt>
                <c:pt idx="3">
                  <c:v>0.09</c:v>
                </c:pt>
                <c:pt idx="4">
                  <c:v>0.09</c:v>
                </c:pt>
                <c:pt idx="5">
                  <c:v>0.17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F56C-DB2D-4D88-9CFE-499468BF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17</Pages>
  <Words>3677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Pipka</dc:creator>
  <cp:lastModifiedBy>kasia</cp:lastModifiedBy>
  <cp:revision>51</cp:revision>
  <dcterms:created xsi:type="dcterms:W3CDTF">2013-05-19T23:27:00Z</dcterms:created>
  <dcterms:modified xsi:type="dcterms:W3CDTF">2014-11-06T14:35:00Z</dcterms:modified>
</cp:coreProperties>
</file>