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D98" w:rsidRDefault="00587D98" w:rsidP="00587D98">
      <w:pPr>
        <w:spacing w:line="240" w:lineRule="auto"/>
        <w:rPr>
          <w:b/>
          <w:sz w:val="20"/>
        </w:rPr>
      </w:pPr>
      <w:r>
        <w:rPr>
          <w:b/>
          <w:sz w:val="20"/>
        </w:rPr>
        <w:t>ANALIZA RYNKU</w:t>
      </w:r>
      <w:r>
        <w:rPr>
          <w:b/>
          <w:i/>
          <w:sz w:val="20"/>
          <w:u w:val="single"/>
        </w:rPr>
        <w:br/>
      </w:r>
      <w:r w:rsidRPr="00587D98">
        <w:rPr>
          <w:b/>
          <w:i/>
          <w:sz w:val="20"/>
          <w:u w:val="single"/>
        </w:rPr>
        <w:t>Ćwiczenie nr</w:t>
      </w:r>
      <w:proofErr w:type="gramStart"/>
      <w:r w:rsidRPr="00587D98">
        <w:rPr>
          <w:b/>
          <w:i/>
          <w:sz w:val="20"/>
          <w:u w:val="single"/>
        </w:rPr>
        <w:t xml:space="preserve"> 2 (15.03.2013)</w:t>
      </w:r>
      <w:r>
        <w:rPr>
          <w:b/>
          <w:i/>
          <w:sz w:val="20"/>
          <w:u w:val="single"/>
        </w:rPr>
        <w:br/>
      </w:r>
      <w:r>
        <w:rPr>
          <w:b/>
          <w:i/>
          <w:sz w:val="20"/>
          <w:u w:val="single"/>
        </w:rPr>
        <w:br/>
      </w:r>
      <w:r>
        <w:rPr>
          <w:b/>
          <w:sz w:val="20"/>
        </w:rPr>
        <w:t>ANALIZA</w:t>
      </w:r>
      <w:proofErr w:type="gramEnd"/>
      <w:r>
        <w:rPr>
          <w:b/>
          <w:sz w:val="20"/>
        </w:rPr>
        <w:t xml:space="preserve"> ZJAWISK RYNKOWYCH W CZASIE:</w:t>
      </w:r>
      <w:r>
        <w:rPr>
          <w:b/>
          <w:sz w:val="20"/>
        </w:rPr>
        <w:br/>
        <w:t>Składniki procesów rozwojowych</w:t>
      </w:r>
      <w:r>
        <w:rPr>
          <w:b/>
          <w:sz w:val="20"/>
        </w:rPr>
        <w:br/>
        <w:t>Rozwój zjawisk rynkowych w czasie:</w:t>
      </w:r>
    </w:p>
    <w:p w:rsidR="00587D98" w:rsidRPr="00587D98" w:rsidRDefault="00587D98" w:rsidP="00587D98">
      <w:pPr>
        <w:pStyle w:val="Akapitzlist"/>
        <w:numPr>
          <w:ilvl w:val="0"/>
          <w:numId w:val="1"/>
        </w:numPr>
        <w:spacing w:line="240" w:lineRule="auto"/>
        <w:rPr>
          <w:b/>
          <w:sz w:val="20"/>
        </w:rPr>
      </w:pPr>
      <w:r>
        <w:rPr>
          <w:sz w:val="20"/>
        </w:rPr>
        <w:t>Nie przebiega całkiem przypadkowo i chaotycznie;</w:t>
      </w:r>
    </w:p>
    <w:p w:rsidR="00587D98" w:rsidRPr="00587D98" w:rsidRDefault="00587D98" w:rsidP="00587D98">
      <w:pPr>
        <w:pStyle w:val="Akapitzlist"/>
        <w:numPr>
          <w:ilvl w:val="0"/>
          <w:numId w:val="1"/>
        </w:numPr>
        <w:spacing w:line="240" w:lineRule="auto"/>
        <w:rPr>
          <w:b/>
          <w:sz w:val="20"/>
        </w:rPr>
      </w:pPr>
      <w:r>
        <w:rPr>
          <w:sz w:val="20"/>
        </w:rPr>
        <w:t>Zwykle przybiera określony kierunek i określone natężenie.</w:t>
      </w:r>
    </w:p>
    <w:p w:rsidR="00587D98" w:rsidRDefault="00587D98" w:rsidP="00587D98">
      <w:pPr>
        <w:spacing w:line="240" w:lineRule="auto"/>
        <w:rPr>
          <w:sz w:val="20"/>
        </w:rPr>
      </w:pPr>
      <w:r>
        <w:rPr>
          <w:b/>
          <w:sz w:val="20"/>
        </w:rPr>
        <w:t xml:space="preserve">          </w:t>
      </w:r>
      <w:r w:rsidRPr="00587D98">
        <w:rPr>
          <w:sz w:val="20"/>
        </w:rPr>
        <w:t>Stała obserwacja zjawisk rynkowych w dłuższym okresie pozwala się dopatrzyć pewnych występujących w nich prawidłowości.</w:t>
      </w:r>
      <w:r>
        <w:rPr>
          <w:sz w:val="20"/>
        </w:rPr>
        <w:br/>
        <w:t xml:space="preserve">          Ważne jest zdobycie umiejętności dostrzegania oraz matematycznego opisu tych prawidłowości, gdyż uzyskane w ten sposób dane mogą być niezwykle cenne przy podejmowaniu decyzji menedżerskich. </w:t>
      </w:r>
      <w:r>
        <w:rPr>
          <w:sz w:val="20"/>
        </w:rPr>
        <w:br/>
        <w:t xml:space="preserve">          Wnikliwa analiza przebiegu zjawiska w czasie (np. popytu na określone dobro) polega na wyodrębnieniu składników oddziałujących na nie i na stworzeniu na tej podstawie modelu matematycznego. Na ogół wyróżnia się trzy składowe szeregu czasowego:</w:t>
      </w:r>
    </w:p>
    <w:p w:rsidR="00587D98" w:rsidRDefault="00587D98" w:rsidP="00587D98">
      <w:pPr>
        <w:pStyle w:val="Akapitzlist"/>
        <w:numPr>
          <w:ilvl w:val="0"/>
          <w:numId w:val="1"/>
        </w:numPr>
        <w:spacing w:line="240" w:lineRule="auto"/>
        <w:rPr>
          <w:sz w:val="20"/>
        </w:rPr>
      </w:pPr>
      <w:r>
        <w:rPr>
          <w:sz w:val="20"/>
        </w:rPr>
        <w:t>Tendencję rozwojową (trend);</w:t>
      </w:r>
    </w:p>
    <w:p w:rsidR="00587D98" w:rsidRDefault="00587D98" w:rsidP="00587D98">
      <w:pPr>
        <w:pStyle w:val="Akapitzlist"/>
        <w:numPr>
          <w:ilvl w:val="0"/>
          <w:numId w:val="1"/>
        </w:numPr>
        <w:spacing w:line="240" w:lineRule="auto"/>
        <w:rPr>
          <w:sz w:val="20"/>
        </w:rPr>
      </w:pPr>
      <w:r>
        <w:rPr>
          <w:sz w:val="20"/>
        </w:rPr>
        <w:t>Wahania okresowe (periodyczne, regularne);</w:t>
      </w:r>
    </w:p>
    <w:p w:rsidR="00587D98" w:rsidRDefault="00587D98" w:rsidP="00587D98">
      <w:pPr>
        <w:pStyle w:val="Akapitzlist"/>
        <w:numPr>
          <w:ilvl w:val="0"/>
          <w:numId w:val="1"/>
        </w:numPr>
        <w:spacing w:line="240" w:lineRule="auto"/>
        <w:rPr>
          <w:sz w:val="20"/>
        </w:rPr>
      </w:pPr>
      <w:r>
        <w:rPr>
          <w:sz w:val="20"/>
        </w:rPr>
        <w:t>Wahania nieregularne.</w:t>
      </w:r>
    </w:p>
    <w:p w:rsidR="00587D98" w:rsidRDefault="00A654A3" w:rsidP="00587D98">
      <w:pPr>
        <w:spacing w:line="240" w:lineRule="auto"/>
        <w:rPr>
          <w:b/>
          <w:sz w:val="20"/>
        </w:rPr>
      </w:pPr>
      <w:r>
        <w:rPr>
          <w:b/>
          <w:sz w:val="20"/>
        </w:rPr>
        <w:t>Przykłady szeregów czasowych z różnymi rodzajami składowymi:</w:t>
      </w:r>
    </w:p>
    <w:p w:rsidR="00305CFC" w:rsidRDefault="00A654A3" w:rsidP="00587D98">
      <w:pPr>
        <w:spacing w:line="240" w:lineRule="auto"/>
        <w:rPr>
          <w:sz w:val="20"/>
        </w:rPr>
      </w:pPr>
      <w:r>
        <w:rPr>
          <w:b/>
          <w:noProof/>
          <w:sz w:val="20"/>
          <w:lang w:eastAsia="pl-PL"/>
        </w:rPr>
        <w:drawing>
          <wp:inline distT="0" distB="0" distL="0" distR="0">
            <wp:extent cx="4371975" cy="2702539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0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</w:rPr>
        <w:br/>
      </w:r>
      <w:r>
        <w:rPr>
          <w:b/>
          <w:sz w:val="20"/>
        </w:rPr>
        <w:br/>
      </w:r>
      <w:r w:rsidR="00305CFC">
        <w:rPr>
          <w:b/>
          <w:sz w:val="20"/>
        </w:rPr>
        <w:t>Składniki szeregu czasowego</w:t>
      </w:r>
      <w:proofErr w:type="gramStart"/>
      <w:r w:rsidR="00305CFC">
        <w:rPr>
          <w:b/>
          <w:sz w:val="20"/>
        </w:rPr>
        <w:t>:</w:t>
      </w:r>
      <w:r w:rsidR="00305CFC">
        <w:rPr>
          <w:b/>
          <w:sz w:val="20"/>
        </w:rPr>
        <w:br/>
        <w:t>1) tendencja</w:t>
      </w:r>
      <w:proofErr w:type="gramEnd"/>
      <w:r w:rsidR="00305CFC">
        <w:rPr>
          <w:b/>
          <w:sz w:val="20"/>
        </w:rPr>
        <w:t xml:space="preserve"> rozwojowa (trend) – </w:t>
      </w:r>
      <w:r w:rsidR="00305CFC">
        <w:rPr>
          <w:sz w:val="20"/>
        </w:rPr>
        <w:t>ujawnia się poprzez istotne, trwałe zmiany rozmiarów badanego zjawiska, będące wynikiem oddziaływania określonego zespołu przyczyn głównych.</w:t>
      </w:r>
    </w:p>
    <w:p w:rsidR="00305CFC" w:rsidRDefault="00305CFC" w:rsidP="00587D98">
      <w:pPr>
        <w:spacing w:line="240" w:lineRule="auto"/>
        <w:rPr>
          <w:sz w:val="20"/>
        </w:rPr>
      </w:pPr>
      <w:r>
        <w:rPr>
          <w:sz w:val="20"/>
        </w:rPr>
        <w:t>Trend może być:</w:t>
      </w:r>
    </w:p>
    <w:p w:rsidR="00305CFC" w:rsidRDefault="00305CFC" w:rsidP="00305CFC">
      <w:pPr>
        <w:pStyle w:val="Akapitzlist"/>
        <w:numPr>
          <w:ilvl w:val="0"/>
          <w:numId w:val="1"/>
        </w:numPr>
        <w:spacing w:line="240" w:lineRule="auto"/>
        <w:rPr>
          <w:sz w:val="20"/>
        </w:rPr>
      </w:pPr>
      <w:r w:rsidRPr="00305CFC">
        <w:rPr>
          <w:sz w:val="20"/>
        </w:rPr>
        <w:t>Rosn</w:t>
      </w:r>
      <w:r>
        <w:rPr>
          <w:sz w:val="20"/>
        </w:rPr>
        <w:t>ący,</w:t>
      </w:r>
    </w:p>
    <w:p w:rsidR="00305CFC" w:rsidRDefault="00305CFC" w:rsidP="00305CFC">
      <w:pPr>
        <w:pStyle w:val="Akapitzlist"/>
        <w:numPr>
          <w:ilvl w:val="0"/>
          <w:numId w:val="1"/>
        </w:numPr>
        <w:spacing w:line="240" w:lineRule="auto"/>
        <w:rPr>
          <w:sz w:val="20"/>
        </w:rPr>
      </w:pPr>
      <w:r>
        <w:rPr>
          <w:sz w:val="20"/>
        </w:rPr>
        <w:t>Malejący</w:t>
      </w:r>
    </w:p>
    <w:p w:rsidR="00305CFC" w:rsidRDefault="00305CFC" w:rsidP="00305CFC">
      <w:pPr>
        <w:pStyle w:val="Akapitzlist"/>
        <w:numPr>
          <w:ilvl w:val="0"/>
          <w:numId w:val="1"/>
        </w:numPr>
        <w:spacing w:line="240" w:lineRule="auto"/>
        <w:rPr>
          <w:sz w:val="20"/>
        </w:rPr>
      </w:pPr>
      <w:r>
        <w:rPr>
          <w:sz w:val="20"/>
        </w:rPr>
        <w:t>Pozostawać na niezmiennym (stałym, średnim) poziomie.</w:t>
      </w:r>
    </w:p>
    <w:p w:rsidR="00305CFC" w:rsidRDefault="00305CFC" w:rsidP="00305CFC">
      <w:pPr>
        <w:spacing w:line="240" w:lineRule="auto"/>
        <w:rPr>
          <w:b/>
          <w:sz w:val="20"/>
        </w:rPr>
      </w:pPr>
      <w:r>
        <w:rPr>
          <w:b/>
          <w:sz w:val="20"/>
        </w:rPr>
        <w:t xml:space="preserve">2) wahania okresowe – </w:t>
      </w:r>
      <w:r>
        <w:rPr>
          <w:sz w:val="20"/>
        </w:rPr>
        <w:t xml:space="preserve">odzwierciedlają pewien </w:t>
      </w:r>
      <w:r>
        <w:rPr>
          <w:b/>
          <w:sz w:val="20"/>
        </w:rPr>
        <w:t>cykl zmian:</w:t>
      </w:r>
    </w:p>
    <w:p w:rsidR="00305CFC" w:rsidRPr="00305CFC" w:rsidRDefault="00305CFC" w:rsidP="00305CFC">
      <w:pPr>
        <w:pStyle w:val="Akapitzlist"/>
        <w:numPr>
          <w:ilvl w:val="0"/>
          <w:numId w:val="2"/>
        </w:numPr>
        <w:spacing w:line="240" w:lineRule="auto"/>
        <w:rPr>
          <w:b/>
          <w:sz w:val="20"/>
        </w:rPr>
      </w:pPr>
      <w:r>
        <w:rPr>
          <w:sz w:val="20"/>
        </w:rPr>
        <w:t>Mających mniej więcej takie same rozmiary i</w:t>
      </w:r>
    </w:p>
    <w:p w:rsidR="00305CFC" w:rsidRPr="00A47058" w:rsidRDefault="00305CFC" w:rsidP="00305CFC">
      <w:pPr>
        <w:pStyle w:val="Akapitzlist"/>
        <w:numPr>
          <w:ilvl w:val="0"/>
          <w:numId w:val="2"/>
        </w:numPr>
        <w:spacing w:line="240" w:lineRule="auto"/>
        <w:rPr>
          <w:b/>
          <w:sz w:val="20"/>
        </w:rPr>
      </w:pPr>
      <w:r>
        <w:rPr>
          <w:sz w:val="20"/>
        </w:rPr>
        <w:t xml:space="preserve">Powtarzających </w:t>
      </w:r>
      <w:proofErr w:type="gramStart"/>
      <w:r>
        <w:rPr>
          <w:sz w:val="20"/>
        </w:rPr>
        <w:t>się co</w:t>
      </w:r>
      <w:proofErr w:type="gramEnd"/>
      <w:r>
        <w:rPr>
          <w:sz w:val="20"/>
        </w:rPr>
        <w:t xml:space="preserve"> pewien ( w przybliżeniu stały) okres.</w:t>
      </w:r>
    </w:p>
    <w:p w:rsidR="00A47058" w:rsidRDefault="00A47058" w:rsidP="00A47058">
      <w:pPr>
        <w:spacing w:line="240" w:lineRule="auto"/>
        <w:rPr>
          <w:b/>
          <w:sz w:val="20"/>
        </w:rPr>
      </w:pPr>
      <w:r>
        <w:rPr>
          <w:b/>
          <w:sz w:val="20"/>
        </w:rPr>
        <w:t>Rodzaje wahań okresowych (wg kryterium długości cyklu):</w:t>
      </w:r>
    </w:p>
    <w:p w:rsidR="00A47058" w:rsidRPr="00A47058" w:rsidRDefault="00A47058" w:rsidP="00A47058">
      <w:pPr>
        <w:pStyle w:val="Akapitzlist"/>
        <w:numPr>
          <w:ilvl w:val="0"/>
          <w:numId w:val="2"/>
        </w:numPr>
        <w:spacing w:line="240" w:lineRule="auto"/>
        <w:rPr>
          <w:b/>
          <w:sz w:val="20"/>
        </w:rPr>
      </w:pPr>
      <w:r>
        <w:rPr>
          <w:b/>
          <w:sz w:val="20"/>
        </w:rPr>
        <w:t xml:space="preserve">Wahania krótkookresowe – </w:t>
      </w:r>
      <w:r>
        <w:rPr>
          <w:sz w:val="20"/>
        </w:rPr>
        <w:t>powtarzają się w obrębie miesięcy, tygodni lub dni (np. wahania sprzedaży w hipermarketach spowodowane dużą zmiennością natężenia ruchu nabywców w ciągu tygodnia);</w:t>
      </w:r>
    </w:p>
    <w:p w:rsidR="00A47058" w:rsidRPr="00A47058" w:rsidRDefault="00A47058" w:rsidP="00A47058">
      <w:pPr>
        <w:pStyle w:val="Akapitzlist"/>
        <w:numPr>
          <w:ilvl w:val="0"/>
          <w:numId w:val="2"/>
        </w:numPr>
        <w:spacing w:line="240" w:lineRule="auto"/>
        <w:rPr>
          <w:b/>
          <w:sz w:val="20"/>
        </w:rPr>
      </w:pPr>
      <w:r>
        <w:rPr>
          <w:b/>
          <w:sz w:val="20"/>
        </w:rPr>
        <w:t>Wahania sezonowe –</w:t>
      </w:r>
      <w:r>
        <w:rPr>
          <w:sz w:val="20"/>
        </w:rPr>
        <w:t xml:space="preserve"> mają roczny okres wahań (wynikają one z przyczyn naturalnych, np. z przebiegu pór roku, oraz z przyczyn konwencjonalnych, np. zwyczajów świątecznych);</w:t>
      </w:r>
    </w:p>
    <w:p w:rsidR="00A47058" w:rsidRPr="00A47058" w:rsidRDefault="00A47058" w:rsidP="00A47058">
      <w:pPr>
        <w:pStyle w:val="Akapitzlist"/>
        <w:numPr>
          <w:ilvl w:val="0"/>
          <w:numId w:val="2"/>
        </w:numPr>
        <w:spacing w:line="240" w:lineRule="auto"/>
        <w:rPr>
          <w:b/>
          <w:sz w:val="20"/>
        </w:rPr>
      </w:pPr>
      <w:r>
        <w:rPr>
          <w:b/>
          <w:sz w:val="20"/>
        </w:rPr>
        <w:t>Wahania koniunkturalne –</w:t>
      </w:r>
      <w:r>
        <w:rPr>
          <w:sz w:val="20"/>
        </w:rPr>
        <w:t xml:space="preserve"> zwane cyklicznymi (powtarzają się w odstępach dłuższych niż rok i są na ogół związane z cyklem koniunkturalnym gospodarki).</w:t>
      </w:r>
    </w:p>
    <w:p w:rsidR="00A47058" w:rsidRDefault="00DE1C2B" w:rsidP="00A47058">
      <w:pPr>
        <w:spacing w:line="240" w:lineRule="auto"/>
        <w:rPr>
          <w:sz w:val="20"/>
        </w:rPr>
      </w:pPr>
      <w:r>
        <w:rPr>
          <w:b/>
          <w:sz w:val="20"/>
        </w:rPr>
        <w:br/>
      </w:r>
      <w:r>
        <w:rPr>
          <w:b/>
          <w:sz w:val="20"/>
        </w:rPr>
        <w:br/>
      </w:r>
      <w:r w:rsidR="00A47058">
        <w:rPr>
          <w:b/>
          <w:sz w:val="20"/>
        </w:rPr>
        <w:lastRenderedPageBreak/>
        <w:t xml:space="preserve">Wahania </w:t>
      </w:r>
      <w:proofErr w:type="gramStart"/>
      <w:r w:rsidR="00A47058">
        <w:rPr>
          <w:b/>
          <w:sz w:val="20"/>
        </w:rPr>
        <w:t>nieregularne:</w:t>
      </w:r>
      <w:r>
        <w:rPr>
          <w:b/>
          <w:sz w:val="20"/>
        </w:rPr>
        <w:br/>
        <w:t xml:space="preserve">          </w:t>
      </w:r>
      <w:r w:rsidR="000D28D1">
        <w:rPr>
          <w:sz w:val="20"/>
        </w:rPr>
        <w:t>Odnoszą</w:t>
      </w:r>
      <w:proofErr w:type="gramEnd"/>
      <w:r w:rsidR="000D28D1">
        <w:rPr>
          <w:sz w:val="20"/>
        </w:rPr>
        <w:t xml:space="preserve"> się do siły, kierunku i częstości występowania zjawiska.</w:t>
      </w:r>
    </w:p>
    <w:p w:rsidR="000D28D1" w:rsidRDefault="000D28D1" w:rsidP="00A47058">
      <w:pPr>
        <w:spacing w:line="240" w:lineRule="auto"/>
        <w:rPr>
          <w:sz w:val="20"/>
        </w:rPr>
      </w:pPr>
      <w:r>
        <w:rPr>
          <w:sz w:val="20"/>
        </w:rPr>
        <w:t xml:space="preserve">          Należą do nich</w:t>
      </w:r>
      <w:proofErr w:type="gramStart"/>
      <w:r>
        <w:rPr>
          <w:sz w:val="20"/>
        </w:rPr>
        <w:t>:</w:t>
      </w:r>
      <w:r>
        <w:rPr>
          <w:sz w:val="20"/>
        </w:rPr>
        <w:br/>
        <w:t xml:space="preserve">- </w:t>
      </w:r>
      <w:r>
        <w:rPr>
          <w:b/>
          <w:sz w:val="20"/>
        </w:rPr>
        <w:t>wahania</w:t>
      </w:r>
      <w:proofErr w:type="gramEnd"/>
      <w:r>
        <w:rPr>
          <w:b/>
          <w:sz w:val="20"/>
        </w:rPr>
        <w:t xml:space="preserve"> czysto losowe (przypadkowe), </w:t>
      </w:r>
      <w:r>
        <w:rPr>
          <w:sz w:val="20"/>
        </w:rPr>
        <w:t>o określonym rozkładzie prawdopodobieństw zdarzeń losowych;</w:t>
      </w:r>
      <w:r>
        <w:rPr>
          <w:sz w:val="20"/>
        </w:rPr>
        <w:br/>
        <w:t xml:space="preserve">- </w:t>
      </w:r>
      <w:r w:rsidRPr="000D28D1">
        <w:rPr>
          <w:b/>
          <w:sz w:val="20"/>
        </w:rPr>
        <w:t>wahania incydentalne (katastroficzne)</w:t>
      </w:r>
      <w:r>
        <w:rPr>
          <w:b/>
          <w:sz w:val="20"/>
        </w:rPr>
        <w:t xml:space="preserve">, </w:t>
      </w:r>
      <w:r>
        <w:rPr>
          <w:sz w:val="20"/>
        </w:rPr>
        <w:t>nie podlegające żadnym prawidłowościom losowym, wywołujące na ogół głębokie i trwałe zmiany w rozwoju zjawiska.</w:t>
      </w:r>
      <w:r>
        <w:rPr>
          <w:sz w:val="20"/>
        </w:rPr>
        <w:br/>
        <w:t xml:space="preserve">          Wahania przypadkowe towarzyszą większości zachodzących zjawisk i dla pojedynczych obserwacji zdają się mieć istotne znaczenie. Jednak przy dłużej liczbie obserwacji (w dłuższym okresie) ich wpływ na przebieg zjawiska zostaje znacznie zmniejszony.</w:t>
      </w:r>
      <w:r>
        <w:rPr>
          <w:sz w:val="20"/>
        </w:rPr>
        <w:br/>
      </w:r>
      <w:r>
        <w:rPr>
          <w:sz w:val="20"/>
        </w:rPr>
        <w:br/>
      </w:r>
      <w:r>
        <w:rPr>
          <w:b/>
          <w:sz w:val="20"/>
        </w:rPr>
        <w:t>Modele obrazujące przebieg zjawisk rynkowych w czasie:</w:t>
      </w:r>
      <w:r>
        <w:rPr>
          <w:b/>
          <w:sz w:val="20"/>
        </w:rPr>
        <w:br/>
      </w:r>
      <w:r w:rsidRPr="000D28D1">
        <w:rPr>
          <w:sz w:val="20"/>
        </w:rPr>
        <w:t>1.</w:t>
      </w:r>
      <w:r>
        <w:rPr>
          <w:b/>
          <w:sz w:val="20"/>
        </w:rPr>
        <w:t xml:space="preserve"> </w:t>
      </w:r>
      <w:r>
        <w:rPr>
          <w:sz w:val="20"/>
        </w:rPr>
        <w:t>Model addytywny;</w:t>
      </w:r>
      <w:r>
        <w:rPr>
          <w:sz w:val="20"/>
        </w:rPr>
        <w:br/>
        <w:t>2. Model multiplikatywny.</w:t>
      </w:r>
    </w:p>
    <w:p w:rsidR="000D28D1" w:rsidRPr="00BB003C" w:rsidRDefault="000D28D1" w:rsidP="00BB003C">
      <w:pPr>
        <w:pStyle w:val="Akapitzlist"/>
        <w:numPr>
          <w:ilvl w:val="0"/>
          <w:numId w:val="3"/>
        </w:numPr>
        <w:spacing w:line="240" w:lineRule="auto"/>
        <w:rPr>
          <w:sz w:val="20"/>
        </w:rPr>
      </w:pPr>
      <w:r w:rsidRPr="00BB003C">
        <w:rPr>
          <w:sz w:val="20"/>
        </w:rPr>
        <w:t xml:space="preserve">W </w:t>
      </w:r>
      <w:r w:rsidRPr="00BB003C">
        <w:rPr>
          <w:b/>
          <w:sz w:val="20"/>
        </w:rPr>
        <w:t xml:space="preserve">modelu addytywnym </w:t>
      </w:r>
      <w:r w:rsidRPr="00BB003C">
        <w:rPr>
          <w:sz w:val="20"/>
        </w:rPr>
        <w:t>przyjmuje się, że poszczególne składowe szeregu czasowego są sumowane:</w:t>
      </w:r>
      <w:r w:rsidRPr="00BB003C">
        <w:rPr>
          <w:sz w:val="20"/>
        </w:rPr>
        <w:br/>
      </w:r>
      <w:r w:rsidRPr="00BB003C">
        <w:rPr>
          <w:b/>
          <w:sz w:val="24"/>
        </w:rPr>
        <w:t xml:space="preserve">y = f(t) + c + s + </w:t>
      </w:r>
      <w:proofErr w:type="spellStart"/>
      <w:r w:rsidRPr="00BB003C">
        <w:rPr>
          <w:b/>
          <w:sz w:val="24"/>
        </w:rPr>
        <w:t>ζ</w:t>
      </w:r>
      <w:proofErr w:type="gramStart"/>
      <w:r w:rsidRPr="00BB003C">
        <w:rPr>
          <w:b/>
          <w:sz w:val="24"/>
          <w:vertAlign w:val="subscript"/>
        </w:rPr>
        <w:t>t</w:t>
      </w:r>
      <w:proofErr w:type="spellEnd"/>
      <w:r w:rsidRPr="00BB003C">
        <w:rPr>
          <w:sz w:val="24"/>
        </w:rPr>
        <w:t xml:space="preserve">   lub</w:t>
      </w:r>
      <w:proofErr w:type="gramEnd"/>
      <w:r w:rsidRPr="00BB003C">
        <w:rPr>
          <w:sz w:val="24"/>
        </w:rPr>
        <w:t xml:space="preserve"> </w:t>
      </w:r>
      <w:r w:rsidRPr="00BB003C">
        <w:rPr>
          <w:b/>
          <w:sz w:val="24"/>
        </w:rPr>
        <w:t xml:space="preserve">y = </w:t>
      </w:r>
      <w:proofErr w:type="spellStart"/>
      <w:r w:rsidRPr="00BB003C">
        <w:rPr>
          <w:b/>
          <w:sz w:val="24"/>
        </w:rPr>
        <w:t>const</w:t>
      </w:r>
      <w:proofErr w:type="spellEnd"/>
      <w:r w:rsidRPr="00BB003C">
        <w:rPr>
          <w:b/>
          <w:sz w:val="24"/>
        </w:rPr>
        <w:t xml:space="preserve"> + c + s + </w:t>
      </w:r>
      <w:proofErr w:type="spellStart"/>
      <w:r w:rsidRPr="00BB003C">
        <w:rPr>
          <w:b/>
          <w:sz w:val="24"/>
        </w:rPr>
        <w:t>ζ</w:t>
      </w:r>
      <w:r w:rsidRPr="00BB003C">
        <w:rPr>
          <w:b/>
          <w:sz w:val="24"/>
          <w:vertAlign w:val="subscript"/>
        </w:rPr>
        <w:t>t</w:t>
      </w:r>
      <w:proofErr w:type="spellEnd"/>
      <w:r w:rsidRPr="00BB003C">
        <w:rPr>
          <w:sz w:val="24"/>
          <w:vertAlign w:val="subscript"/>
        </w:rPr>
        <w:t xml:space="preserve"> </w:t>
      </w:r>
      <w:r w:rsidRPr="00BB003C">
        <w:rPr>
          <w:sz w:val="20"/>
          <w:vertAlign w:val="subscript"/>
        </w:rPr>
        <w:br/>
      </w:r>
      <w:r w:rsidRPr="00BB003C">
        <w:rPr>
          <w:sz w:val="20"/>
        </w:rPr>
        <w:t>gdzie:</w:t>
      </w:r>
    </w:p>
    <w:p w:rsidR="000D28D1" w:rsidRPr="00BB003C" w:rsidRDefault="00C42EE0" w:rsidP="00BB003C">
      <w:pPr>
        <w:pStyle w:val="Akapitzlist"/>
        <w:numPr>
          <w:ilvl w:val="0"/>
          <w:numId w:val="4"/>
        </w:numPr>
        <w:spacing w:line="240" w:lineRule="auto"/>
        <w:rPr>
          <w:sz w:val="20"/>
        </w:rPr>
      </w:pPr>
      <w:r w:rsidRPr="00BB003C">
        <w:rPr>
          <w:sz w:val="20"/>
        </w:rPr>
        <w:t>f</w:t>
      </w:r>
      <w:r w:rsidR="000D28D1" w:rsidRPr="00BB003C">
        <w:rPr>
          <w:sz w:val="20"/>
        </w:rPr>
        <w:t>(t) – funkcja trendu</w:t>
      </w:r>
      <w:proofErr w:type="gramStart"/>
      <w:r w:rsidR="000D28D1" w:rsidRPr="00BB003C">
        <w:rPr>
          <w:sz w:val="20"/>
        </w:rPr>
        <w:t>,</w:t>
      </w:r>
      <w:r w:rsidR="000D28D1" w:rsidRPr="00BB003C">
        <w:rPr>
          <w:sz w:val="20"/>
        </w:rPr>
        <w:br/>
      </w:r>
      <w:proofErr w:type="spellStart"/>
      <w:r w:rsidR="000D28D1" w:rsidRPr="00BB003C">
        <w:rPr>
          <w:sz w:val="20"/>
        </w:rPr>
        <w:t>const</w:t>
      </w:r>
      <w:proofErr w:type="spellEnd"/>
      <w:proofErr w:type="gramEnd"/>
      <w:r w:rsidR="000D28D1" w:rsidRPr="00BB003C">
        <w:rPr>
          <w:sz w:val="20"/>
        </w:rPr>
        <w:t xml:space="preserve"> – stały (średni) poziom zjawiska,</w:t>
      </w:r>
      <w:r w:rsidRPr="00BB003C">
        <w:rPr>
          <w:sz w:val="20"/>
        </w:rPr>
        <w:br/>
        <w:t>c – wahania cykliczne,</w:t>
      </w:r>
      <w:r w:rsidRPr="00BB003C">
        <w:rPr>
          <w:sz w:val="20"/>
        </w:rPr>
        <w:br/>
        <w:t>s – wahania sezonowe,</w:t>
      </w:r>
      <w:r w:rsidRPr="00BB003C">
        <w:rPr>
          <w:sz w:val="20"/>
        </w:rPr>
        <w:br/>
      </w:r>
      <w:proofErr w:type="spellStart"/>
      <w:r w:rsidRPr="00BB003C">
        <w:rPr>
          <w:sz w:val="20"/>
        </w:rPr>
        <w:t>ζ</w:t>
      </w:r>
      <w:r w:rsidRPr="00BB003C">
        <w:rPr>
          <w:sz w:val="20"/>
          <w:vertAlign w:val="subscript"/>
        </w:rPr>
        <w:t>t</w:t>
      </w:r>
      <w:proofErr w:type="spellEnd"/>
      <w:r w:rsidRPr="00BB003C">
        <w:rPr>
          <w:sz w:val="20"/>
          <w:vertAlign w:val="subscript"/>
        </w:rPr>
        <w:t xml:space="preserve"> </w:t>
      </w:r>
      <w:r w:rsidRPr="00BB003C">
        <w:rPr>
          <w:sz w:val="20"/>
        </w:rPr>
        <w:t>– składnik losowy</w:t>
      </w:r>
    </w:p>
    <w:p w:rsidR="002A7164" w:rsidRPr="00BB003C" w:rsidRDefault="002A7164" w:rsidP="00BB003C">
      <w:pPr>
        <w:pStyle w:val="Akapitzlist"/>
        <w:numPr>
          <w:ilvl w:val="0"/>
          <w:numId w:val="3"/>
        </w:numPr>
        <w:spacing w:line="240" w:lineRule="auto"/>
        <w:rPr>
          <w:b/>
          <w:sz w:val="24"/>
          <w:vertAlign w:val="subscript"/>
        </w:rPr>
      </w:pPr>
      <w:r w:rsidRPr="00BB003C">
        <w:rPr>
          <w:b/>
          <w:sz w:val="20"/>
        </w:rPr>
        <w:t xml:space="preserve">Model multiplikatywny </w:t>
      </w:r>
      <w:r w:rsidRPr="00BB003C">
        <w:rPr>
          <w:sz w:val="20"/>
        </w:rPr>
        <w:t>jest iloczynem składowych szeregu czasowego:</w:t>
      </w:r>
      <w:r w:rsidRPr="00BB003C">
        <w:rPr>
          <w:sz w:val="20"/>
        </w:rPr>
        <w:br/>
      </w:r>
      <w:r w:rsidRPr="00BB003C">
        <w:rPr>
          <w:b/>
          <w:sz w:val="24"/>
        </w:rPr>
        <w:t xml:space="preserve">y = f(t) * c * s * </w:t>
      </w:r>
      <w:proofErr w:type="spellStart"/>
      <w:r w:rsidRPr="00BB003C">
        <w:rPr>
          <w:b/>
          <w:sz w:val="24"/>
        </w:rPr>
        <w:t>ζ</w:t>
      </w:r>
      <w:proofErr w:type="gramStart"/>
      <w:r w:rsidRPr="00BB003C">
        <w:rPr>
          <w:b/>
          <w:sz w:val="24"/>
          <w:vertAlign w:val="subscript"/>
        </w:rPr>
        <w:t>t</w:t>
      </w:r>
      <w:proofErr w:type="spellEnd"/>
      <w:r w:rsidRPr="00BB003C">
        <w:rPr>
          <w:sz w:val="24"/>
          <w:vertAlign w:val="subscript"/>
        </w:rPr>
        <w:t xml:space="preserve">   </w:t>
      </w:r>
      <w:r w:rsidRPr="00BB003C">
        <w:rPr>
          <w:sz w:val="24"/>
        </w:rPr>
        <w:t>lub</w:t>
      </w:r>
      <w:proofErr w:type="gramEnd"/>
      <w:r w:rsidRPr="00BB003C">
        <w:rPr>
          <w:sz w:val="20"/>
        </w:rPr>
        <w:t xml:space="preserve">  </w:t>
      </w:r>
      <w:r w:rsidRPr="00BB003C">
        <w:rPr>
          <w:b/>
          <w:sz w:val="24"/>
        </w:rPr>
        <w:t xml:space="preserve">y = </w:t>
      </w:r>
      <w:proofErr w:type="spellStart"/>
      <w:r w:rsidRPr="00BB003C">
        <w:rPr>
          <w:b/>
          <w:sz w:val="24"/>
        </w:rPr>
        <w:t>const</w:t>
      </w:r>
      <w:proofErr w:type="spellEnd"/>
      <w:r w:rsidRPr="00BB003C">
        <w:rPr>
          <w:b/>
          <w:sz w:val="24"/>
        </w:rPr>
        <w:t xml:space="preserve"> * c * s * </w:t>
      </w:r>
      <w:proofErr w:type="spellStart"/>
      <w:r w:rsidRPr="00BB003C">
        <w:rPr>
          <w:b/>
          <w:sz w:val="24"/>
        </w:rPr>
        <w:t>ζ</w:t>
      </w:r>
      <w:r w:rsidRPr="00BB003C">
        <w:rPr>
          <w:b/>
          <w:sz w:val="24"/>
          <w:vertAlign w:val="subscript"/>
        </w:rPr>
        <w:t>t</w:t>
      </w:r>
      <w:proofErr w:type="spellEnd"/>
    </w:p>
    <w:p w:rsidR="005F3F02" w:rsidRDefault="005F3F02" w:rsidP="00A47058">
      <w:pPr>
        <w:spacing w:line="240" w:lineRule="auto"/>
        <w:rPr>
          <w:b/>
          <w:sz w:val="20"/>
        </w:rPr>
      </w:pPr>
      <w:r>
        <w:rPr>
          <w:sz w:val="20"/>
        </w:rPr>
        <w:t>Wybór jednego z modeli analizy i prognozy zjawiska zależy od rodzaju występujących wahań okresowych.</w:t>
      </w:r>
      <w:r>
        <w:rPr>
          <w:sz w:val="20"/>
        </w:rPr>
        <w:br/>
      </w:r>
      <w:r>
        <w:rPr>
          <w:b/>
          <w:sz w:val="20"/>
        </w:rPr>
        <w:t>W przypadku wahań o stałej amplitudzie korzysta się z modelu addytywnego.</w:t>
      </w:r>
    </w:p>
    <w:p w:rsidR="00BB003C" w:rsidRPr="00DE1C2B" w:rsidRDefault="005F3F02" w:rsidP="00A47058">
      <w:pPr>
        <w:spacing w:line="240" w:lineRule="auto"/>
        <w:rPr>
          <w:b/>
          <w:sz w:val="20"/>
        </w:rPr>
      </w:pPr>
      <w:r>
        <w:rPr>
          <w:b/>
          <w:sz w:val="20"/>
        </w:rPr>
        <w:t>Metody wyodrębnienia tendencji rozwojowych (</w:t>
      </w:r>
      <w:proofErr w:type="gramStart"/>
      <w:r>
        <w:rPr>
          <w:b/>
          <w:sz w:val="20"/>
        </w:rPr>
        <w:t>trendów)</w:t>
      </w:r>
      <w:r w:rsidR="00BB003C">
        <w:rPr>
          <w:b/>
          <w:sz w:val="20"/>
        </w:rPr>
        <w:t>:</w:t>
      </w:r>
      <w:r w:rsidR="00DE1C2B">
        <w:rPr>
          <w:b/>
          <w:sz w:val="20"/>
        </w:rPr>
        <w:br/>
        <w:t xml:space="preserve">          </w:t>
      </w:r>
      <w:r w:rsidR="00BB003C">
        <w:rPr>
          <w:sz w:val="20"/>
        </w:rPr>
        <w:t>W</w:t>
      </w:r>
      <w:proofErr w:type="gramEnd"/>
      <w:r w:rsidR="00BB003C">
        <w:rPr>
          <w:sz w:val="20"/>
        </w:rPr>
        <w:t xml:space="preserve"> celu określenia ogólnej tendencji zmian zachodzących w zjawisku w danym okresie należy wygładzić (wyrównać) szereg czasowy. Konieczność ta wynika z tego, że oprócz głównych przyczyn oddziałujących na zjawisko, wpływ na nie ma także duża liczba czynników przypadkowych.</w:t>
      </w:r>
    </w:p>
    <w:p w:rsidR="00BB003C" w:rsidRDefault="00BB003C" w:rsidP="00A47058">
      <w:pPr>
        <w:spacing w:line="240" w:lineRule="auto"/>
        <w:rPr>
          <w:sz w:val="20"/>
        </w:rPr>
      </w:pPr>
      <w:r>
        <w:rPr>
          <w:sz w:val="20"/>
        </w:rPr>
        <w:t xml:space="preserve">          Do podstawowych metod wygładzania szeregów czasowych należą:</w:t>
      </w:r>
    </w:p>
    <w:p w:rsidR="00BB003C" w:rsidRDefault="00BB003C" w:rsidP="00BB003C">
      <w:pPr>
        <w:pStyle w:val="Akapitzlist"/>
        <w:numPr>
          <w:ilvl w:val="0"/>
          <w:numId w:val="5"/>
        </w:numPr>
        <w:spacing w:line="240" w:lineRule="auto"/>
        <w:rPr>
          <w:sz w:val="20"/>
        </w:rPr>
      </w:pPr>
      <w:r>
        <w:rPr>
          <w:sz w:val="20"/>
        </w:rPr>
        <w:t>Metoda średnich ruchomych,</w:t>
      </w:r>
    </w:p>
    <w:p w:rsidR="00BB003C" w:rsidRDefault="00BB003C" w:rsidP="00BB003C">
      <w:pPr>
        <w:pStyle w:val="Akapitzlist"/>
        <w:numPr>
          <w:ilvl w:val="0"/>
          <w:numId w:val="5"/>
        </w:numPr>
        <w:spacing w:line="240" w:lineRule="auto"/>
        <w:rPr>
          <w:sz w:val="20"/>
        </w:rPr>
      </w:pPr>
      <w:r>
        <w:rPr>
          <w:sz w:val="20"/>
        </w:rPr>
        <w:t>Metoda graficzna,</w:t>
      </w:r>
    </w:p>
    <w:p w:rsidR="00BB003C" w:rsidRDefault="00BB003C" w:rsidP="00BB003C">
      <w:pPr>
        <w:pStyle w:val="Akapitzlist"/>
        <w:numPr>
          <w:ilvl w:val="0"/>
          <w:numId w:val="5"/>
        </w:numPr>
        <w:spacing w:line="240" w:lineRule="auto"/>
        <w:rPr>
          <w:sz w:val="20"/>
        </w:rPr>
      </w:pPr>
      <w:r>
        <w:rPr>
          <w:sz w:val="20"/>
        </w:rPr>
        <w:t>Metoda najmniejszych kwadratów.</w:t>
      </w:r>
    </w:p>
    <w:p w:rsidR="00BB003C" w:rsidRDefault="00BB003C" w:rsidP="00BB003C">
      <w:pPr>
        <w:spacing w:line="240" w:lineRule="auto"/>
        <w:rPr>
          <w:sz w:val="20"/>
        </w:rPr>
      </w:pPr>
      <w:r>
        <w:rPr>
          <w:sz w:val="20"/>
        </w:rPr>
        <w:t xml:space="preserve">          </w:t>
      </w:r>
      <w:r>
        <w:rPr>
          <w:b/>
          <w:sz w:val="20"/>
        </w:rPr>
        <w:t xml:space="preserve">Metoda średnich ruchomych </w:t>
      </w:r>
      <w:r>
        <w:rPr>
          <w:sz w:val="20"/>
        </w:rPr>
        <w:t>polega na sekwencyjnym obliczaniu średnich arytmetycznych dla wybranej liczny obserwacji. Poszczególne wartości średniej ruchomej są na ogół przypisywane środkowemu okresowi w tych wyrazach szeregu, które zostały wzięte do rachunku. Na przykład w przypadku 3-letniej średniej ruchomej kolejne jej wyrazy oblicza się w następujący sposób:</w:t>
      </w:r>
    </w:p>
    <w:p w:rsidR="0094348F" w:rsidRDefault="00BB003C" w:rsidP="0094348F">
      <w:pPr>
        <w:spacing w:line="240" w:lineRule="auto"/>
        <w:rPr>
          <w:rFonts w:eastAsiaTheme="minorEastAsia"/>
          <w:b/>
          <w:sz w:val="24"/>
          <w:lang w:val="en-US"/>
        </w:rPr>
      </w:pPr>
      <w:r w:rsidRPr="0094348F">
        <w:rPr>
          <w:b/>
          <w:sz w:val="24"/>
          <w:lang w:val="en-US"/>
        </w:rPr>
        <w:t>y</w:t>
      </w:r>
      <w:r w:rsidRPr="0094348F">
        <w:rPr>
          <w:b/>
          <w:sz w:val="24"/>
          <w:vertAlign w:val="subscript"/>
          <w:lang w:val="en-US"/>
        </w:rPr>
        <w:t xml:space="preserve">2 </w:t>
      </w:r>
      <w:r w:rsidRPr="0094348F">
        <w:rPr>
          <w:b/>
          <w:sz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</w:rPr>
              <m:t>y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1</m:t>
            </m:r>
            <m:r>
              <m:rPr>
                <m:sty m:val="bi"/>
              </m:rPr>
              <w:rPr>
                <w:rFonts w:ascii="Cambria Math" w:hAnsi="Cambria Math"/>
                <w:sz w:val="24"/>
                <w:lang w:val="en-US"/>
              </w:rPr>
              <m:t>+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y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sz w:val="24"/>
                <w:lang w:val="en-US"/>
              </w:rPr>
              <m:t>+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y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</w:rPr>
              <m:t>3</m:t>
            </m:r>
          </m:den>
        </m:f>
      </m:oMath>
      <w:r w:rsidRPr="0094348F">
        <w:rPr>
          <w:rFonts w:eastAsiaTheme="minorEastAsia"/>
          <w:b/>
          <w:sz w:val="24"/>
          <w:lang w:val="en-US"/>
        </w:rPr>
        <w:t xml:space="preserve">      </w:t>
      </w:r>
      <w:r w:rsidR="0094348F" w:rsidRPr="0094348F">
        <w:rPr>
          <w:b/>
          <w:sz w:val="24"/>
          <w:lang w:val="en-US"/>
        </w:rPr>
        <w:t>y</w:t>
      </w:r>
      <w:r w:rsidR="0094348F">
        <w:rPr>
          <w:b/>
          <w:sz w:val="24"/>
          <w:vertAlign w:val="subscript"/>
          <w:lang w:val="en-US"/>
        </w:rPr>
        <w:t>3</w:t>
      </w:r>
      <w:r w:rsidR="0094348F" w:rsidRPr="0094348F">
        <w:rPr>
          <w:b/>
          <w:sz w:val="24"/>
          <w:vertAlign w:val="subscript"/>
          <w:lang w:val="en-US"/>
        </w:rPr>
        <w:t xml:space="preserve"> </w:t>
      </w:r>
      <w:r w:rsidR="0094348F" w:rsidRPr="0094348F">
        <w:rPr>
          <w:b/>
          <w:sz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</w:rPr>
              <m:t>y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sz w:val="24"/>
                <w:lang w:val="en-US"/>
              </w:rPr>
              <m:t>+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y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  <w:sz w:val="24"/>
                <w:lang w:val="en-US"/>
              </w:rPr>
              <m:t>+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y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</w:rPr>
              <m:t>3</m:t>
            </m:r>
          </m:den>
        </m:f>
      </m:oMath>
      <w:r w:rsidR="0094348F" w:rsidRPr="0094348F">
        <w:rPr>
          <w:rFonts w:eastAsiaTheme="minorEastAsia"/>
          <w:b/>
          <w:sz w:val="24"/>
          <w:lang w:val="en-US"/>
        </w:rPr>
        <w:t xml:space="preserve">      </w:t>
      </w:r>
      <w:r w:rsidR="0094348F">
        <w:rPr>
          <w:rFonts w:eastAsiaTheme="minorEastAsia"/>
          <w:b/>
          <w:sz w:val="24"/>
          <w:lang w:val="en-US"/>
        </w:rPr>
        <w:t xml:space="preserve">     </w:t>
      </w:r>
      <w:r w:rsidR="0094348F" w:rsidRPr="0094348F">
        <w:rPr>
          <w:b/>
          <w:sz w:val="24"/>
          <w:lang w:val="en-US"/>
        </w:rPr>
        <w:t>y</w:t>
      </w:r>
      <w:r w:rsidR="0094348F">
        <w:rPr>
          <w:b/>
          <w:sz w:val="24"/>
          <w:vertAlign w:val="subscript"/>
          <w:lang w:val="en-US"/>
        </w:rPr>
        <w:t>4</w:t>
      </w:r>
      <w:r w:rsidR="0094348F" w:rsidRPr="0094348F">
        <w:rPr>
          <w:b/>
          <w:sz w:val="24"/>
          <w:vertAlign w:val="subscript"/>
          <w:lang w:val="en-US"/>
        </w:rPr>
        <w:t xml:space="preserve"> </w:t>
      </w:r>
      <w:r w:rsidR="0094348F" w:rsidRPr="0094348F">
        <w:rPr>
          <w:b/>
          <w:sz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</w:rPr>
              <m:t>y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  <w:sz w:val="24"/>
                <w:lang w:val="en-US"/>
              </w:rPr>
              <m:t>+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y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4</m:t>
            </m:r>
            <m:r>
              <m:rPr>
                <m:sty m:val="bi"/>
              </m:rPr>
              <w:rPr>
                <w:rFonts w:ascii="Cambria Math" w:hAnsi="Cambria Math"/>
                <w:sz w:val="24"/>
                <w:lang w:val="en-US"/>
              </w:rPr>
              <m:t>+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y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</w:rPr>
              <m:t>3</m:t>
            </m:r>
          </m:den>
        </m:f>
      </m:oMath>
      <w:r w:rsidR="0094348F" w:rsidRPr="0094348F">
        <w:rPr>
          <w:rFonts w:eastAsiaTheme="minorEastAsia"/>
          <w:b/>
          <w:sz w:val="24"/>
          <w:lang w:val="en-US"/>
        </w:rPr>
        <w:t xml:space="preserve">      </w:t>
      </w:r>
    </w:p>
    <w:p w:rsidR="0094348F" w:rsidRDefault="0094348F" w:rsidP="0094348F">
      <w:pPr>
        <w:spacing w:line="240" w:lineRule="auto"/>
        <w:rPr>
          <w:rFonts w:eastAsiaTheme="minorEastAsia"/>
          <w:sz w:val="20"/>
        </w:rPr>
      </w:pPr>
      <w:r w:rsidRPr="0094348F">
        <w:rPr>
          <w:rFonts w:eastAsiaTheme="minorEastAsia"/>
          <w:sz w:val="20"/>
        </w:rPr>
        <w:t>Przy takim postępowaniu nie można obliczyć średniej dla okresu (roku) pierwszego</w:t>
      </w:r>
      <w:r>
        <w:rPr>
          <w:rFonts w:eastAsiaTheme="minorEastAsia"/>
          <w:sz w:val="20"/>
        </w:rPr>
        <w:t xml:space="preserve"> i</w:t>
      </w:r>
      <w:r w:rsidRPr="0094348F">
        <w:rPr>
          <w:rFonts w:eastAsiaTheme="minorEastAsia"/>
          <w:sz w:val="20"/>
        </w:rPr>
        <w:t xml:space="preserve"> ostatniego.</w:t>
      </w:r>
    </w:p>
    <w:p w:rsidR="0094348F" w:rsidRDefault="0094348F" w:rsidP="0094348F">
      <w:pPr>
        <w:spacing w:line="240" w:lineRule="auto"/>
        <w:rPr>
          <w:rFonts w:eastAsiaTheme="minorEastAsia"/>
          <w:sz w:val="20"/>
        </w:rPr>
      </w:pPr>
      <w:r>
        <w:rPr>
          <w:rFonts w:eastAsiaTheme="minorEastAsia"/>
          <w:b/>
          <w:sz w:val="20"/>
        </w:rPr>
        <w:t>Przykład 1.</w:t>
      </w:r>
      <w:r w:rsidR="00DE1C2B">
        <w:rPr>
          <w:rFonts w:eastAsiaTheme="minorEastAsia"/>
          <w:b/>
          <w:sz w:val="20"/>
        </w:rPr>
        <w:br/>
        <w:t xml:space="preserve"> </w:t>
      </w:r>
      <w:r>
        <w:rPr>
          <w:rFonts w:eastAsiaTheme="minorEastAsia"/>
          <w:b/>
          <w:sz w:val="20"/>
        </w:rPr>
        <w:t xml:space="preserve">         </w:t>
      </w:r>
      <w:r>
        <w:rPr>
          <w:rFonts w:eastAsiaTheme="minorEastAsia"/>
          <w:sz w:val="20"/>
        </w:rPr>
        <w:t>Rozpatrzeć sprzedaż napojów w pewnym supermarkecie w latach 2004-2010. W tablicy przedstawiono dane empiryczne (faktyczne) z poszczególnych okresów oraz obliczone na ich podstawie 3- i 5-letnie średnie ruchome.</w:t>
      </w: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722"/>
        <w:gridCol w:w="2906"/>
        <w:gridCol w:w="2364"/>
        <w:gridCol w:w="2835"/>
      </w:tblGrid>
      <w:tr w:rsidR="0094348F" w:rsidTr="0094348F">
        <w:tc>
          <w:tcPr>
            <w:tcW w:w="722" w:type="dxa"/>
            <w:vAlign w:val="center"/>
          </w:tcPr>
          <w:p w:rsidR="0094348F" w:rsidRPr="0094348F" w:rsidRDefault="0094348F" w:rsidP="0094348F">
            <w:pPr>
              <w:jc w:val="center"/>
              <w:rPr>
                <w:b/>
                <w:sz w:val="20"/>
              </w:rPr>
            </w:pPr>
            <w:r w:rsidRPr="0094348F">
              <w:rPr>
                <w:b/>
                <w:sz w:val="20"/>
              </w:rPr>
              <w:t>Lata</w:t>
            </w:r>
          </w:p>
        </w:tc>
        <w:tc>
          <w:tcPr>
            <w:tcW w:w="2906" w:type="dxa"/>
            <w:vAlign w:val="center"/>
          </w:tcPr>
          <w:p w:rsidR="0094348F" w:rsidRPr="0094348F" w:rsidRDefault="0094348F" w:rsidP="0094348F">
            <w:pPr>
              <w:jc w:val="center"/>
              <w:rPr>
                <w:b/>
                <w:sz w:val="20"/>
              </w:rPr>
            </w:pPr>
            <w:r w:rsidRPr="0094348F">
              <w:rPr>
                <w:b/>
                <w:sz w:val="20"/>
              </w:rPr>
              <w:t>Sprzedaż napojów y [tys. litrów]</w:t>
            </w:r>
          </w:p>
        </w:tc>
        <w:tc>
          <w:tcPr>
            <w:tcW w:w="2364" w:type="dxa"/>
            <w:vAlign w:val="center"/>
          </w:tcPr>
          <w:p w:rsidR="0094348F" w:rsidRPr="0094348F" w:rsidRDefault="0094348F" w:rsidP="0094348F">
            <w:pPr>
              <w:jc w:val="center"/>
              <w:rPr>
                <w:b/>
                <w:sz w:val="20"/>
              </w:rPr>
            </w:pPr>
            <w:r w:rsidRPr="0094348F">
              <w:rPr>
                <w:b/>
                <w:sz w:val="20"/>
              </w:rPr>
              <w:t>3-letnie średnie ruchome</w:t>
            </w:r>
          </w:p>
        </w:tc>
        <w:tc>
          <w:tcPr>
            <w:tcW w:w="2835" w:type="dxa"/>
            <w:vAlign w:val="center"/>
          </w:tcPr>
          <w:p w:rsidR="0094348F" w:rsidRPr="0094348F" w:rsidRDefault="0094348F" w:rsidP="0094348F">
            <w:pPr>
              <w:jc w:val="center"/>
              <w:rPr>
                <w:b/>
                <w:sz w:val="20"/>
              </w:rPr>
            </w:pPr>
            <w:r w:rsidRPr="0094348F">
              <w:rPr>
                <w:b/>
                <w:sz w:val="20"/>
              </w:rPr>
              <w:t>5-letnie średnie ruchome</w:t>
            </w:r>
          </w:p>
        </w:tc>
      </w:tr>
      <w:tr w:rsidR="0094348F" w:rsidTr="0094348F">
        <w:tc>
          <w:tcPr>
            <w:tcW w:w="722" w:type="dxa"/>
            <w:vAlign w:val="center"/>
          </w:tcPr>
          <w:p w:rsidR="0094348F" w:rsidRPr="0094348F" w:rsidRDefault="0094348F" w:rsidP="0094348F">
            <w:pPr>
              <w:jc w:val="center"/>
              <w:rPr>
                <w:b/>
                <w:sz w:val="20"/>
              </w:rPr>
            </w:pPr>
            <w:r w:rsidRPr="0094348F">
              <w:rPr>
                <w:b/>
                <w:sz w:val="20"/>
              </w:rPr>
              <w:t>2004</w:t>
            </w:r>
          </w:p>
        </w:tc>
        <w:tc>
          <w:tcPr>
            <w:tcW w:w="2906" w:type="dxa"/>
            <w:vAlign w:val="center"/>
          </w:tcPr>
          <w:p w:rsidR="0094348F" w:rsidRDefault="0094348F" w:rsidP="009434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2364" w:type="dxa"/>
            <w:vAlign w:val="center"/>
          </w:tcPr>
          <w:p w:rsidR="0094348F" w:rsidRDefault="0094348F" w:rsidP="0094348F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  <w:vAlign w:val="center"/>
          </w:tcPr>
          <w:p w:rsidR="0094348F" w:rsidRDefault="0094348F" w:rsidP="0094348F">
            <w:pPr>
              <w:jc w:val="center"/>
              <w:rPr>
                <w:sz w:val="20"/>
              </w:rPr>
            </w:pPr>
          </w:p>
        </w:tc>
      </w:tr>
      <w:tr w:rsidR="0094348F" w:rsidTr="0094348F">
        <w:tc>
          <w:tcPr>
            <w:tcW w:w="722" w:type="dxa"/>
            <w:vAlign w:val="center"/>
          </w:tcPr>
          <w:p w:rsidR="0094348F" w:rsidRPr="0094348F" w:rsidRDefault="0094348F" w:rsidP="0094348F">
            <w:pPr>
              <w:jc w:val="center"/>
              <w:rPr>
                <w:b/>
                <w:sz w:val="20"/>
              </w:rPr>
            </w:pPr>
            <w:r w:rsidRPr="0094348F">
              <w:rPr>
                <w:b/>
                <w:sz w:val="20"/>
              </w:rPr>
              <w:t>2005</w:t>
            </w:r>
          </w:p>
        </w:tc>
        <w:tc>
          <w:tcPr>
            <w:tcW w:w="2906" w:type="dxa"/>
            <w:vAlign w:val="center"/>
          </w:tcPr>
          <w:p w:rsidR="0094348F" w:rsidRDefault="0094348F" w:rsidP="009434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2364" w:type="dxa"/>
            <w:vAlign w:val="center"/>
          </w:tcPr>
          <w:p w:rsidR="0094348F" w:rsidRDefault="0094348F" w:rsidP="009434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131,67</w:t>
            </w:r>
          </w:p>
        </w:tc>
        <w:tc>
          <w:tcPr>
            <w:tcW w:w="2835" w:type="dxa"/>
            <w:vAlign w:val="center"/>
          </w:tcPr>
          <w:p w:rsidR="0094348F" w:rsidRDefault="0094348F" w:rsidP="0094348F">
            <w:pPr>
              <w:jc w:val="center"/>
              <w:rPr>
                <w:sz w:val="20"/>
              </w:rPr>
            </w:pPr>
          </w:p>
        </w:tc>
      </w:tr>
      <w:tr w:rsidR="0094348F" w:rsidTr="0094348F">
        <w:tc>
          <w:tcPr>
            <w:tcW w:w="722" w:type="dxa"/>
            <w:vAlign w:val="center"/>
          </w:tcPr>
          <w:p w:rsidR="0094348F" w:rsidRPr="0094348F" w:rsidRDefault="0094348F" w:rsidP="0094348F">
            <w:pPr>
              <w:jc w:val="center"/>
              <w:rPr>
                <w:b/>
                <w:sz w:val="20"/>
              </w:rPr>
            </w:pPr>
            <w:r w:rsidRPr="0094348F">
              <w:rPr>
                <w:b/>
                <w:sz w:val="20"/>
              </w:rPr>
              <w:t>2006</w:t>
            </w:r>
          </w:p>
        </w:tc>
        <w:tc>
          <w:tcPr>
            <w:tcW w:w="2906" w:type="dxa"/>
            <w:vAlign w:val="center"/>
          </w:tcPr>
          <w:p w:rsidR="0094348F" w:rsidRDefault="0094348F" w:rsidP="009434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2364" w:type="dxa"/>
            <w:vAlign w:val="center"/>
          </w:tcPr>
          <w:p w:rsidR="0094348F" w:rsidRDefault="0094348F" w:rsidP="009434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136,00</w:t>
            </w:r>
          </w:p>
        </w:tc>
        <w:tc>
          <w:tcPr>
            <w:tcW w:w="2835" w:type="dxa"/>
            <w:vAlign w:val="center"/>
          </w:tcPr>
          <w:p w:rsidR="0094348F" w:rsidRDefault="0094348F" w:rsidP="009434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136,80</w:t>
            </w:r>
          </w:p>
        </w:tc>
      </w:tr>
      <w:tr w:rsidR="0094348F" w:rsidTr="0094348F">
        <w:tc>
          <w:tcPr>
            <w:tcW w:w="722" w:type="dxa"/>
            <w:vAlign w:val="center"/>
          </w:tcPr>
          <w:p w:rsidR="0094348F" w:rsidRPr="0094348F" w:rsidRDefault="0094348F" w:rsidP="0094348F">
            <w:pPr>
              <w:jc w:val="center"/>
              <w:rPr>
                <w:b/>
                <w:sz w:val="20"/>
              </w:rPr>
            </w:pPr>
            <w:r w:rsidRPr="0094348F">
              <w:rPr>
                <w:b/>
                <w:sz w:val="20"/>
              </w:rPr>
              <w:t>2007</w:t>
            </w:r>
          </w:p>
        </w:tc>
        <w:tc>
          <w:tcPr>
            <w:tcW w:w="2906" w:type="dxa"/>
            <w:vAlign w:val="center"/>
          </w:tcPr>
          <w:p w:rsidR="0094348F" w:rsidRDefault="0094348F" w:rsidP="009434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2364" w:type="dxa"/>
            <w:vAlign w:val="center"/>
          </w:tcPr>
          <w:p w:rsidR="0094348F" w:rsidRDefault="0094348F" w:rsidP="009434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141,33</w:t>
            </w:r>
          </w:p>
        </w:tc>
        <w:tc>
          <w:tcPr>
            <w:tcW w:w="2835" w:type="dxa"/>
            <w:vAlign w:val="center"/>
          </w:tcPr>
          <w:p w:rsidR="0094348F" w:rsidRDefault="0094348F" w:rsidP="009434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142,80</w:t>
            </w:r>
          </w:p>
        </w:tc>
      </w:tr>
      <w:tr w:rsidR="0094348F" w:rsidTr="0094348F">
        <w:tc>
          <w:tcPr>
            <w:tcW w:w="722" w:type="dxa"/>
            <w:vAlign w:val="center"/>
          </w:tcPr>
          <w:p w:rsidR="0094348F" w:rsidRPr="0094348F" w:rsidRDefault="0094348F" w:rsidP="0094348F">
            <w:pPr>
              <w:jc w:val="center"/>
              <w:rPr>
                <w:b/>
                <w:sz w:val="20"/>
              </w:rPr>
            </w:pPr>
            <w:r w:rsidRPr="0094348F">
              <w:rPr>
                <w:b/>
                <w:sz w:val="20"/>
              </w:rPr>
              <w:t>2008</w:t>
            </w:r>
          </w:p>
        </w:tc>
        <w:tc>
          <w:tcPr>
            <w:tcW w:w="2906" w:type="dxa"/>
            <w:vAlign w:val="center"/>
          </w:tcPr>
          <w:p w:rsidR="0094348F" w:rsidRDefault="0094348F" w:rsidP="009434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2364" w:type="dxa"/>
            <w:vAlign w:val="center"/>
          </w:tcPr>
          <w:p w:rsidR="0094348F" w:rsidRDefault="0094348F" w:rsidP="009434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149,00</w:t>
            </w:r>
          </w:p>
        </w:tc>
        <w:tc>
          <w:tcPr>
            <w:tcW w:w="2835" w:type="dxa"/>
            <w:vAlign w:val="center"/>
          </w:tcPr>
          <w:p w:rsidR="0094348F" w:rsidRDefault="0094348F" w:rsidP="009434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150,00</w:t>
            </w:r>
          </w:p>
        </w:tc>
      </w:tr>
      <w:tr w:rsidR="0094348F" w:rsidTr="0094348F">
        <w:tc>
          <w:tcPr>
            <w:tcW w:w="722" w:type="dxa"/>
            <w:vAlign w:val="center"/>
          </w:tcPr>
          <w:p w:rsidR="0094348F" w:rsidRPr="0094348F" w:rsidRDefault="0094348F" w:rsidP="0094348F">
            <w:pPr>
              <w:jc w:val="center"/>
              <w:rPr>
                <w:b/>
                <w:sz w:val="20"/>
              </w:rPr>
            </w:pPr>
            <w:r w:rsidRPr="0094348F">
              <w:rPr>
                <w:b/>
                <w:sz w:val="20"/>
              </w:rPr>
              <w:t>2009</w:t>
            </w:r>
          </w:p>
        </w:tc>
        <w:tc>
          <w:tcPr>
            <w:tcW w:w="2906" w:type="dxa"/>
            <w:vAlign w:val="center"/>
          </w:tcPr>
          <w:p w:rsidR="0094348F" w:rsidRDefault="0094348F" w:rsidP="009434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2364" w:type="dxa"/>
            <w:vAlign w:val="center"/>
          </w:tcPr>
          <w:p w:rsidR="0094348F" w:rsidRDefault="0094348F" w:rsidP="009434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158,00</w:t>
            </w:r>
          </w:p>
        </w:tc>
        <w:tc>
          <w:tcPr>
            <w:tcW w:w="2835" w:type="dxa"/>
            <w:vAlign w:val="center"/>
          </w:tcPr>
          <w:p w:rsidR="0094348F" w:rsidRDefault="0094348F" w:rsidP="0094348F">
            <w:pPr>
              <w:jc w:val="center"/>
              <w:rPr>
                <w:sz w:val="20"/>
              </w:rPr>
            </w:pPr>
          </w:p>
        </w:tc>
      </w:tr>
      <w:tr w:rsidR="0094348F" w:rsidTr="0094348F">
        <w:tc>
          <w:tcPr>
            <w:tcW w:w="722" w:type="dxa"/>
            <w:vAlign w:val="center"/>
          </w:tcPr>
          <w:p w:rsidR="0094348F" w:rsidRPr="0094348F" w:rsidRDefault="0094348F" w:rsidP="0094348F">
            <w:pPr>
              <w:jc w:val="center"/>
              <w:rPr>
                <w:b/>
                <w:sz w:val="20"/>
              </w:rPr>
            </w:pPr>
            <w:r w:rsidRPr="0094348F">
              <w:rPr>
                <w:b/>
                <w:sz w:val="20"/>
              </w:rPr>
              <w:t>2010</w:t>
            </w:r>
          </w:p>
        </w:tc>
        <w:tc>
          <w:tcPr>
            <w:tcW w:w="2906" w:type="dxa"/>
            <w:vAlign w:val="center"/>
          </w:tcPr>
          <w:p w:rsidR="0094348F" w:rsidRDefault="0094348F" w:rsidP="009434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2364" w:type="dxa"/>
            <w:vAlign w:val="center"/>
          </w:tcPr>
          <w:p w:rsidR="0094348F" w:rsidRDefault="0094348F" w:rsidP="0094348F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  <w:vAlign w:val="center"/>
          </w:tcPr>
          <w:p w:rsidR="0094348F" w:rsidRDefault="0094348F" w:rsidP="0094348F">
            <w:pPr>
              <w:jc w:val="center"/>
              <w:rPr>
                <w:sz w:val="20"/>
              </w:rPr>
            </w:pPr>
          </w:p>
        </w:tc>
      </w:tr>
    </w:tbl>
    <w:p w:rsidR="00E15127" w:rsidRDefault="00E15127" w:rsidP="0094348F">
      <w:pPr>
        <w:spacing w:line="240" w:lineRule="auto"/>
        <w:rPr>
          <w:sz w:val="20"/>
        </w:rPr>
      </w:pPr>
      <w:r>
        <w:rPr>
          <w:sz w:val="20"/>
        </w:rPr>
        <w:t xml:space="preserve">          W przypadku tendencji rozwojowej obliczonej metodą średnich ruchomych nie otrzymuje się w pełni wygładzonej linii trendu, co oznacza, że nie wyeliminowano całkowicie różnego rodzaju wahań.</w:t>
      </w:r>
      <w:r>
        <w:rPr>
          <w:sz w:val="20"/>
        </w:rPr>
        <w:br/>
        <w:t xml:space="preserve">          Chociaż badany szereg wygładza się coraz bardziej w miarę wzrostu liczby członów, z których składa się średnia ruchoma, to sam wygładzony szereg staje się coraz krótszy.</w:t>
      </w:r>
      <w:r>
        <w:rPr>
          <w:sz w:val="20"/>
        </w:rPr>
        <w:br/>
        <w:t xml:space="preserve">          Należy podkreślić, że za pomocą tej metody można wyodrębnić ogólny kierunek rozwoju zjawiska w czasie.</w:t>
      </w:r>
      <w:r>
        <w:rPr>
          <w:sz w:val="20"/>
        </w:rPr>
        <w:br/>
        <w:t xml:space="preserve">          W przypadku analizowanej sprzedaży napojów można zauważyć wyraźną tendencję wzrostową.</w:t>
      </w:r>
    </w:p>
    <w:p w:rsidR="009C2299" w:rsidRDefault="009C2299" w:rsidP="0094348F">
      <w:pPr>
        <w:spacing w:line="240" w:lineRule="auto"/>
        <w:rPr>
          <w:b/>
          <w:sz w:val="20"/>
        </w:rPr>
      </w:pPr>
      <w:r>
        <w:rPr>
          <w:b/>
          <w:sz w:val="20"/>
        </w:rPr>
        <w:lastRenderedPageBreak/>
        <w:t>Sprzedaż napojów w latach 2004-2010 (trend wyznaczony metodą średnich ruchomych)</w:t>
      </w:r>
    </w:p>
    <w:p w:rsidR="009C2299" w:rsidRPr="009C2299" w:rsidRDefault="009C2299" w:rsidP="0094348F">
      <w:pPr>
        <w:spacing w:line="240" w:lineRule="auto"/>
        <w:rPr>
          <w:b/>
          <w:sz w:val="20"/>
        </w:rPr>
      </w:pPr>
      <w:r>
        <w:rPr>
          <w:b/>
          <w:noProof/>
          <w:sz w:val="20"/>
          <w:lang w:eastAsia="pl-PL"/>
        </w:rPr>
        <w:drawing>
          <wp:inline distT="0" distB="0" distL="0" distR="0">
            <wp:extent cx="3943350" cy="228742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8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48F" w:rsidRPr="00684288" w:rsidRDefault="00684288" w:rsidP="0094348F">
      <w:pPr>
        <w:spacing w:line="240" w:lineRule="auto"/>
        <w:rPr>
          <w:sz w:val="20"/>
        </w:rPr>
      </w:pPr>
      <w:r>
        <w:rPr>
          <w:b/>
          <w:sz w:val="20"/>
        </w:rPr>
        <w:t>Metoda graficzna</w:t>
      </w:r>
      <w:r>
        <w:rPr>
          <w:b/>
          <w:sz w:val="20"/>
        </w:rPr>
        <w:br/>
      </w:r>
      <w:r>
        <w:rPr>
          <w:sz w:val="20"/>
        </w:rPr>
        <w:t>Polega ona na wykreśleniu linii prostej „na oko”, tj. Takiej, która wzrokowo najbardziej odpowiada krzywej utworzonej przez zaobserwowane wartości.</w:t>
      </w:r>
      <w:r>
        <w:rPr>
          <w:sz w:val="20"/>
        </w:rPr>
        <w:br/>
      </w:r>
      <w:r>
        <w:rPr>
          <w:sz w:val="20"/>
        </w:rPr>
        <w:br/>
      </w:r>
      <w:r>
        <w:rPr>
          <w:noProof/>
          <w:sz w:val="20"/>
          <w:lang w:eastAsia="pl-PL"/>
        </w:rPr>
        <w:drawing>
          <wp:inline distT="0" distB="0" distL="0" distR="0">
            <wp:extent cx="4324350" cy="2657510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65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03C" w:rsidRPr="00AA79BA" w:rsidRDefault="00AA79BA" w:rsidP="00BB003C">
      <w:pPr>
        <w:spacing w:line="240" w:lineRule="auto"/>
        <w:rPr>
          <w:b/>
          <w:sz w:val="20"/>
        </w:rPr>
      </w:pPr>
      <w:r w:rsidRPr="00AA79BA">
        <w:rPr>
          <w:b/>
          <w:sz w:val="20"/>
        </w:rPr>
        <w:t>Metoda najmniejszych kwadratów:</w:t>
      </w:r>
    </w:p>
    <w:p w:rsidR="005F3F02" w:rsidRDefault="00844033" w:rsidP="00A47058">
      <w:pPr>
        <w:spacing w:line="240" w:lineRule="auto"/>
        <w:rPr>
          <w:rFonts w:eastAsiaTheme="minorEastAsia"/>
          <w:b/>
          <w:sz w:val="24"/>
        </w:rPr>
      </w:pPr>
      <w:r>
        <w:rPr>
          <w:sz w:val="20"/>
        </w:rPr>
        <w:t xml:space="preserve">          Pozwala na minimalizację sum różnic kwadratów odchyleń wartości teoretycznych od wartości empirycznych (faktycznych), co gwarantuje najlepsze dopasowanie funkcji do badanego szeregu. Gdy zakłada się, że trend jest funkcją liniową.</w:t>
      </w:r>
      <w:r>
        <w:rPr>
          <w:sz w:val="20"/>
        </w:rPr>
        <w:br/>
      </w:r>
      <w:proofErr w:type="gramStart"/>
      <w:r w:rsidRPr="00844033">
        <w:rPr>
          <w:b/>
          <w:sz w:val="24"/>
        </w:rPr>
        <w:t>y</w:t>
      </w:r>
      <w:proofErr w:type="gramEnd"/>
      <w:r w:rsidRPr="00844033">
        <w:rPr>
          <w:b/>
          <w:sz w:val="24"/>
        </w:rPr>
        <w:t xml:space="preserve"> = a + </w:t>
      </w:r>
      <w:proofErr w:type="spellStart"/>
      <w:r w:rsidRPr="00844033">
        <w:rPr>
          <w:b/>
          <w:sz w:val="24"/>
        </w:rPr>
        <w:t>bt</w:t>
      </w:r>
      <w:proofErr w:type="spellEnd"/>
      <w:r>
        <w:rPr>
          <w:b/>
          <w:sz w:val="20"/>
        </w:rPr>
        <w:br/>
      </w:r>
      <w:r>
        <w:rPr>
          <w:sz w:val="20"/>
        </w:rPr>
        <w:t>lub funkcją krzywoliniową sprowadzoną do postaci liniowej minimalizuje się wyrażenie.</w:t>
      </w:r>
      <w:r>
        <w:rPr>
          <w:sz w:val="20"/>
        </w:rPr>
        <w:br/>
      </w:r>
      <w:r w:rsidRPr="00844033">
        <w:rPr>
          <w:b/>
          <w:sz w:val="24"/>
        </w:rPr>
        <w:t xml:space="preserve">Σ(y – </w:t>
      </w:r>
      <w:proofErr w:type="spellStart"/>
      <w:r w:rsidRPr="00844033">
        <w:rPr>
          <w:b/>
          <w:sz w:val="24"/>
        </w:rPr>
        <w:t>bt</w:t>
      </w:r>
      <w:proofErr w:type="spellEnd"/>
      <w:r w:rsidRPr="00844033">
        <w:rPr>
          <w:b/>
          <w:sz w:val="24"/>
        </w:rPr>
        <w:t xml:space="preserve"> – a)</w:t>
      </w:r>
      <w:r w:rsidRPr="00844033">
        <w:rPr>
          <w:b/>
          <w:sz w:val="24"/>
          <w:vertAlign w:val="superscript"/>
        </w:rPr>
        <w:t>2</w:t>
      </w:r>
      <w:r>
        <w:rPr>
          <w:b/>
          <w:sz w:val="20"/>
          <w:vertAlign w:val="superscript"/>
        </w:rPr>
        <w:br/>
      </w:r>
      <w:r>
        <w:rPr>
          <w:sz w:val="20"/>
        </w:rPr>
        <w:t>i następnie w wyniku różnicowania tego wyrażenia względem a i b oraz przyrównania pochodnych do zera otrzymuje się układ równań</w:t>
      </w:r>
      <w:r>
        <w:rPr>
          <w:sz w:val="20"/>
        </w:rPr>
        <w:br/>
      </w:r>
      <w:proofErr w:type="spellStart"/>
      <w:r w:rsidRPr="00844033">
        <w:rPr>
          <w:b/>
          <w:sz w:val="24"/>
        </w:rPr>
        <w:t>Σy</w:t>
      </w:r>
      <w:proofErr w:type="spellEnd"/>
      <w:r w:rsidRPr="00844033">
        <w:rPr>
          <w:b/>
          <w:sz w:val="24"/>
        </w:rPr>
        <w:t xml:space="preserve"> = Na + </w:t>
      </w:r>
      <w:proofErr w:type="spellStart"/>
      <w:proofErr w:type="gramStart"/>
      <w:r w:rsidRPr="00844033">
        <w:rPr>
          <w:b/>
          <w:sz w:val="24"/>
        </w:rPr>
        <w:t>bΣt</w:t>
      </w:r>
      <w:proofErr w:type="spellEnd"/>
      <w:r w:rsidR="000021DC">
        <w:rPr>
          <w:b/>
          <w:sz w:val="24"/>
        </w:rPr>
        <w:t xml:space="preserve">               </w:t>
      </w:r>
      <w:proofErr w:type="spellStart"/>
      <w:r w:rsidRPr="00844033">
        <w:rPr>
          <w:b/>
          <w:sz w:val="24"/>
        </w:rPr>
        <w:t>Σyt</w:t>
      </w:r>
      <w:proofErr w:type="spellEnd"/>
      <w:proofErr w:type="gramEnd"/>
      <w:r w:rsidRPr="00844033">
        <w:rPr>
          <w:b/>
          <w:sz w:val="24"/>
        </w:rPr>
        <w:t xml:space="preserve"> = </w:t>
      </w:r>
      <w:proofErr w:type="spellStart"/>
      <w:r w:rsidRPr="00844033">
        <w:rPr>
          <w:b/>
          <w:sz w:val="24"/>
        </w:rPr>
        <w:t>aΣt</w:t>
      </w:r>
      <w:proofErr w:type="spellEnd"/>
      <w:r w:rsidRPr="00844033">
        <w:rPr>
          <w:b/>
          <w:sz w:val="24"/>
        </w:rPr>
        <w:t xml:space="preserve"> + </w:t>
      </w:r>
      <w:proofErr w:type="spellStart"/>
      <w:r w:rsidRPr="00844033">
        <w:rPr>
          <w:b/>
          <w:sz w:val="24"/>
        </w:rPr>
        <w:t>bΣt</w:t>
      </w:r>
      <w:proofErr w:type="spellEnd"/>
      <w:r>
        <w:rPr>
          <w:b/>
          <w:sz w:val="24"/>
        </w:rPr>
        <w:br/>
      </w:r>
      <w:r w:rsidR="000021DC">
        <w:rPr>
          <w:sz w:val="20"/>
        </w:rPr>
        <w:br/>
      </w:r>
      <w:r>
        <w:rPr>
          <w:sz w:val="20"/>
        </w:rPr>
        <w:t>gdzie:</w:t>
      </w:r>
      <w:r>
        <w:rPr>
          <w:sz w:val="20"/>
        </w:rPr>
        <w:br/>
        <w:t>y – wartości empiryczne (rzeczywiste)</w:t>
      </w:r>
      <w:r>
        <w:rPr>
          <w:sz w:val="20"/>
        </w:rPr>
        <w:br/>
        <w:t>a, b – parametry funkcji</w:t>
      </w:r>
      <w:r>
        <w:rPr>
          <w:sz w:val="20"/>
        </w:rPr>
        <w:br/>
        <w:t>t – numery okresów</w:t>
      </w:r>
      <w:r>
        <w:rPr>
          <w:sz w:val="20"/>
        </w:rPr>
        <w:br/>
        <w:t>N – liczba analizowanych okresów</w:t>
      </w:r>
      <w:r>
        <w:rPr>
          <w:sz w:val="20"/>
        </w:rPr>
        <w:br/>
        <w:t xml:space="preserve">          </w:t>
      </w:r>
      <w:r w:rsidR="000021DC">
        <w:rPr>
          <w:sz w:val="20"/>
        </w:rPr>
        <w:br/>
        <w:t xml:space="preserve">          </w:t>
      </w:r>
      <w:r>
        <w:rPr>
          <w:sz w:val="20"/>
        </w:rPr>
        <w:t>Stosując metodę podstawień, uzyskuje się z kolei wzory na wyznaczenie parametrów funkcji liniowej trendu:</w:t>
      </w:r>
      <w:r>
        <w:rPr>
          <w:sz w:val="20"/>
        </w:rPr>
        <w:br/>
      </w:r>
      <w:r w:rsidR="000021DC">
        <w:rPr>
          <w:b/>
          <w:sz w:val="24"/>
        </w:rPr>
        <w:t xml:space="preserve">a =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</w:rPr>
              <m:t>Σy-bΣt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</w:rPr>
              <m:t>N</m:t>
            </m:r>
          </m:den>
        </m:f>
      </m:oMath>
      <w:r w:rsidR="000021DC">
        <w:rPr>
          <w:rFonts w:eastAsiaTheme="minorEastAsia"/>
          <w:b/>
          <w:sz w:val="24"/>
        </w:rPr>
        <w:t xml:space="preserve">        </w:t>
      </w:r>
      <w:r w:rsidR="000021DC">
        <w:rPr>
          <w:b/>
          <w:sz w:val="24"/>
        </w:rPr>
        <w:t xml:space="preserve">b =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</w:rPr>
              <m:t>NΣyt-ΣyΣt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</w:rPr>
              <m:t>NΣt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2-</m:t>
            </m:r>
            <m:d>
              <m:dPr>
                <m:ctrlPr>
                  <w:rPr>
                    <w:rFonts w:ascii="Cambria Math" w:hAnsi="Cambria Math"/>
                    <w:b/>
                    <w:i/>
                    <w:sz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Σt</m:t>
                </m:r>
              </m:e>
            </m:d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den>
        </m:f>
      </m:oMath>
      <w:r w:rsidR="000021DC">
        <w:rPr>
          <w:rFonts w:eastAsiaTheme="minorEastAsia"/>
          <w:b/>
          <w:sz w:val="24"/>
        </w:rPr>
        <w:t xml:space="preserve">   </w:t>
      </w:r>
    </w:p>
    <w:p w:rsidR="000021DC" w:rsidRDefault="000021DC" w:rsidP="00A47058">
      <w:pPr>
        <w:spacing w:line="240" w:lineRule="auto"/>
        <w:rPr>
          <w:rFonts w:eastAsiaTheme="minorEastAsia"/>
          <w:b/>
          <w:sz w:val="20"/>
        </w:rPr>
      </w:pPr>
      <w:r>
        <w:rPr>
          <w:rFonts w:eastAsiaTheme="minorEastAsia"/>
          <w:b/>
          <w:sz w:val="20"/>
        </w:rPr>
        <w:br/>
      </w:r>
      <w:r>
        <w:rPr>
          <w:rFonts w:eastAsiaTheme="minorEastAsia"/>
          <w:b/>
          <w:sz w:val="20"/>
        </w:rPr>
        <w:br/>
      </w:r>
      <w:r>
        <w:rPr>
          <w:rFonts w:eastAsiaTheme="minorEastAsia"/>
          <w:b/>
          <w:sz w:val="20"/>
        </w:rPr>
        <w:br/>
      </w:r>
      <w:r>
        <w:rPr>
          <w:rFonts w:eastAsiaTheme="minorEastAsia"/>
          <w:b/>
          <w:sz w:val="20"/>
        </w:rPr>
        <w:br/>
      </w:r>
      <w:r>
        <w:rPr>
          <w:rFonts w:eastAsiaTheme="minorEastAsia"/>
          <w:b/>
          <w:sz w:val="20"/>
        </w:rPr>
        <w:lastRenderedPageBreak/>
        <w:br/>
        <w:t>Przykład 2.</w:t>
      </w:r>
    </w:p>
    <w:p w:rsidR="000021DC" w:rsidRDefault="000021DC" w:rsidP="00A47058">
      <w:pPr>
        <w:spacing w:line="240" w:lineRule="auto"/>
        <w:rPr>
          <w:sz w:val="20"/>
        </w:rPr>
      </w:pPr>
      <w:r>
        <w:rPr>
          <w:rFonts w:eastAsiaTheme="minorEastAsia"/>
          <w:b/>
          <w:sz w:val="20"/>
        </w:rPr>
        <w:t xml:space="preserve">          </w:t>
      </w:r>
      <w:r>
        <w:rPr>
          <w:rFonts w:eastAsiaTheme="minorEastAsia"/>
          <w:sz w:val="20"/>
        </w:rPr>
        <w:t>Przeanalizować tendencję rozwojową sprzedaży czekolady i wyrobów czekoladowych w hurtowni „Słodycz” w latach 1993-2002. Do oszacowania parametrów funkcji liniowej wykorzystano metodę najmniejszych kwadratów. Obliczenia przedstawiono w tablicy</w:t>
      </w:r>
      <w:proofErr w:type="gramStart"/>
      <w:r>
        <w:rPr>
          <w:rFonts w:eastAsiaTheme="minorEastAsia"/>
          <w:sz w:val="20"/>
        </w:rPr>
        <w:t>:</w:t>
      </w:r>
      <w:r>
        <w:rPr>
          <w:rFonts w:eastAsiaTheme="minorEastAsia"/>
          <w:sz w:val="20"/>
        </w:rPr>
        <w:br/>
      </w:r>
      <w:r>
        <w:rPr>
          <w:noProof/>
          <w:sz w:val="20"/>
          <w:lang w:eastAsia="pl-PL"/>
        </w:rPr>
        <w:drawing>
          <wp:inline distT="0" distB="0" distL="0" distR="0">
            <wp:extent cx="5724525" cy="20955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0"/>
        </w:rPr>
        <w:br/>
      </w:r>
      <w:r>
        <w:rPr>
          <w:rFonts w:eastAsiaTheme="minorEastAsia"/>
          <w:sz w:val="20"/>
        </w:rPr>
        <w:br/>
      </w:r>
      <w:r w:rsidR="008D25CA">
        <w:rPr>
          <w:sz w:val="20"/>
        </w:rPr>
        <w:t>Wzór</w:t>
      </w:r>
      <w:proofErr w:type="gramEnd"/>
      <w:r w:rsidR="008D25CA">
        <w:rPr>
          <w:sz w:val="20"/>
        </w:rPr>
        <w:t xml:space="preserve"> funkcji przedstawiający tendencję rozwojową produkcji sprzedanej czekolady:</w:t>
      </w:r>
      <w:r w:rsidR="008D25CA">
        <w:rPr>
          <w:sz w:val="20"/>
        </w:rPr>
        <w:br/>
      </w:r>
      <w:r w:rsidR="008D25CA">
        <w:rPr>
          <w:b/>
          <w:sz w:val="24"/>
        </w:rPr>
        <w:t>y = 13,076 + 7,148 * t</w:t>
      </w:r>
      <w:r w:rsidR="008D25CA">
        <w:rPr>
          <w:b/>
          <w:sz w:val="24"/>
        </w:rPr>
        <w:br/>
      </w:r>
      <w:r w:rsidR="008D25CA">
        <w:rPr>
          <w:sz w:val="20"/>
        </w:rPr>
        <w:t>gdzie: y – wartości teoretyczne badanej zmiennej</w:t>
      </w:r>
    </w:p>
    <w:p w:rsidR="007457D3" w:rsidRDefault="007457D3" w:rsidP="00A47058">
      <w:pPr>
        <w:spacing w:line="240" w:lineRule="auto"/>
        <w:rPr>
          <w:rFonts w:eastAsiaTheme="minorEastAsia"/>
          <w:b/>
          <w:sz w:val="24"/>
        </w:rPr>
      </w:pPr>
      <w:r>
        <w:rPr>
          <w:b/>
          <w:sz w:val="20"/>
        </w:rPr>
        <w:t xml:space="preserve">Wzory </w:t>
      </w:r>
      <w:proofErr w:type="gramStart"/>
      <w:r>
        <w:rPr>
          <w:b/>
          <w:sz w:val="20"/>
        </w:rPr>
        <w:t>uproszczone:</w:t>
      </w:r>
      <w:r>
        <w:rPr>
          <w:b/>
          <w:sz w:val="20"/>
        </w:rPr>
        <w:br/>
        <w:t xml:space="preserve">        </w:t>
      </w:r>
      <w:r>
        <w:rPr>
          <w:sz w:val="20"/>
        </w:rPr>
        <w:t>W</w:t>
      </w:r>
      <w:proofErr w:type="gramEnd"/>
      <w:r>
        <w:rPr>
          <w:sz w:val="20"/>
        </w:rPr>
        <w:t xml:space="preserve"> wielu przypadkach – zamiast przedstawionych wzorów – zastosowanie znajdują wzory uproszczone. Ułatwienie to sprowadza się do ponumerowania kolejnych okresów w taki sposób, aby ich suma sprowadzała się do zera – </w:t>
      </w:r>
      <w:proofErr w:type="spellStart"/>
      <w:r w:rsidRPr="008E295F">
        <w:rPr>
          <w:b/>
          <w:sz w:val="20"/>
        </w:rPr>
        <w:t>Σt</w:t>
      </w:r>
      <w:proofErr w:type="spellEnd"/>
      <w:r w:rsidRPr="008E295F">
        <w:rPr>
          <w:b/>
          <w:sz w:val="20"/>
        </w:rPr>
        <w:t xml:space="preserve"> = 0</w:t>
      </w:r>
      <w:r>
        <w:rPr>
          <w:sz w:val="20"/>
        </w:rPr>
        <w:t>. Wzory na parametry funkcji liniowej przyjmują wtedy następującą postać:</w:t>
      </w:r>
      <w:r>
        <w:rPr>
          <w:sz w:val="20"/>
        </w:rPr>
        <w:br/>
      </w:r>
      <w:proofErr w:type="gramStart"/>
      <w:r w:rsidR="008E295F">
        <w:rPr>
          <w:b/>
          <w:sz w:val="24"/>
        </w:rPr>
        <w:t xml:space="preserve">a =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</w:rPr>
              <m:t>Σy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</w:rPr>
              <m:t>N</m:t>
            </m:r>
          </m:den>
        </m:f>
      </m:oMath>
      <w:r w:rsidR="008E295F">
        <w:rPr>
          <w:rFonts w:eastAsiaTheme="minorEastAsia"/>
          <w:b/>
          <w:sz w:val="24"/>
        </w:rPr>
        <w:t xml:space="preserve">    </w:t>
      </w:r>
      <w:r w:rsidR="00AC719B">
        <w:rPr>
          <w:rFonts w:eastAsiaTheme="minorEastAsia"/>
          <w:b/>
          <w:sz w:val="24"/>
        </w:rPr>
        <w:t xml:space="preserve">                               </w:t>
      </w:r>
      <w:r w:rsidR="008E295F">
        <w:rPr>
          <w:b/>
          <w:sz w:val="24"/>
        </w:rPr>
        <w:t>b</w:t>
      </w:r>
      <w:proofErr w:type="gramEnd"/>
      <w:r w:rsidR="008E295F">
        <w:rPr>
          <w:b/>
          <w:sz w:val="24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</w:rPr>
              <m:t>Σyt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</w:rPr>
              <m:t>Σt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den>
        </m:f>
      </m:oMath>
    </w:p>
    <w:p w:rsidR="00AC719B" w:rsidRDefault="00AC719B" w:rsidP="00A47058">
      <w:pPr>
        <w:spacing w:line="240" w:lineRule="auto"/>
        <w:rPr>
          <w:rFonts w:eastAsiaTheme="minorEastAsia"/>
          <w:sz w:val="20"/>
        </w:rPr>
      </w:pPr>
      <w:r>
        <w:rPr>
          <w:rFonts w:eastAsiaTheme="minorEastAsia"/>
          <w:b/>
          <w:sz w:val="24"/>
        </w:rPr>
        <w:t xml:space="preserve">          </w:t>
      </w:r>
      <w:r>
        <w:rPr>
          <w:rFonts w:eastAsiaTheme="minorEastAsia"/>
          <w:b/>
          <w:sz w:val="20"/>
        </w:rPr>
        <w:t>Należy jednak pamiętać, że uproszczone wzory nie mogą być stosowane we wszystkich przypadkach. Nie można ich wykorzystać np. do wyznaczania parametrów funkcji potęgowej.</w:t>
      </w:r>
      <w:r>
        <w:rPr>
          <w:rFonts w:eastAsiaTheme="minorEastAsia"/>
          <w:b/>
          <w:sz w:val="20"/>
        </w:rPr>
        <w:br/>
        <w:t xml:space="preserve">          W przypadku nieparzystej liczby okresów </w:t>
      </w:r>
      <w:r>
        <w:rPr>
          <w:rFonts w:eastAsiaTheme="minorEastAsia"/>
          <w:sz w:val="20"/>
        </w:rPr>
        <w:t>ich numeracja wygląda następująco: środkowemu okresowi (t</w:t>
      </w:r>
      <w:r>
        <w:rPr>
          <w:rFonts w:eastAsiaTheme="minorEastAsia"/>
          <w:sz w:val="20"/>
          <w:vertAlign w:val="subscript"/>
        </w:rPr>
        <w:t>0</w:t>
      </w:r>
      <w:r>
        <w:rPr>
          <w:rFonts w:eastAsiaTheme="minorEastAsia"/>
          <w:sz w:val="20"/>
        </w:rPr>
        <w:t>) przypisuje się wartość 0, a pozostałym odpowiednio liczby całkowicie ujemne (dla t&lt;t</w:t>
      </w:r>
      <w:r>
        <w:rPr>
          <w:rFonts w:eastAsiaTheme="minorEastAsia"/>
          <w:sz w:val="20"/>
          <w:vertAlign w:val="subscript"/>
        </w:rPr>
        <w:t>0</w:t>
      </w:r>
      <w:r>
        <w:rPr>
          <w:rFonts w:eastAsiaTheme="minorEastAsia"/>
          <w:sz w:val="20"/>
        </w:rPr>
        <w:t>) i dodatnie (dla t&gt;t</w:t>
      </w:r>
      <w:proofErr w:type="gramStart"/>
      <w:r>
        <w:rPr>
          <w:rFonts w:eastAsiaTheme="minorEastAsia"/>
          <w:sz w:val="20"/>
          <w:vertAlign w:val="subscript"/>
        </w:rPr>
        <w:t>0</w:t>
      </w:r>
      <w:r>
        <w:rPr>
          <w:rFonts w:eastAsiaTheme="minorEastAsia"/>
          <w:sz w:val="20"/>
        </w:rPr>
        <w:t>). Np</w:t>
      </w:r>
      <w:proofErr w:type="gramEnd"/>
      <w:r>
        <w:rPr>
          <w:rFonts w:eastAsiaTheme="minorEastAsia"/>
          <w:sz w:val="20"/>
        </w:rPr>
        <w:t>., gdy liczba okresów wynosi 7, zostaną one ponumerowane kolejno: -3, -2, -1, 0, 1, 2, 3.</w:t>
      </w:r>
      <w:r>
        <w:rPr>
          <w:rFonts w:eastAsiaTheme="minorEastAsia"/>
          <w:sz w:val="20"/>
        </w:rPr>
        <w:br/>
        <w:t xml:space="preserve">          </w:t>
      </w:r>
      <w:r>
        <w:rPr>
          <w:rFonts w:eastAsiaTheme="minorEastAsia"/>
          <w:b/>
          <w:sz w:val="20"/>
        </w:rPr>
        <w:t xml:space="preserve">Sposób numerowania okresów, gdy ich liczba jest parzysta </w:t>
      </w:r>
      <w:r>
        <w:rPr>
          <w:rFonts w:eastAsiaTheme="minorEastAsia"/>
          <w:sz w:val="20"/>
        </w:rPr>
        <w:t>polega na tym, że dwóm środkowym okresom przypisuje się odpowiednio numery -0,5 i 0,5, a pozostałym – liczby ujemne (-1,5, -2,5, -3,5 itd.) i dodatnie (1,5, 2,5, 3,5 itd.)</w:t>
      </w:r>
    </w:p>
    <w:p w:rsidR="00AC719B" w:rsidRDefault="00AC719B" w:rsidP="00A47058">
      <w:pPr>
        <w:spacing w:line="240" w:lineRule="auto"/>
        <w:rPr>
          <w:rFonts w:eastAsiaTheme="minorEastAsia"/>
          <w:b/>
          <w:sz w:val="20"/>
        </w:rPr>
      </w:pPr>
      <w:r>
        <w:rPr>
          <w:rFonts w:eastAsiaTheme="minorEastAsia"/>
          <w:b/>
          <w:sz w:val="20"/>
        </w:rPr>
        <w:t>Przykład 3.</w:t>
      </w:r>
    </w:p>
    <w:p w:rsidR="00AC719B" w:rsidRDefault="00AC719B" w:rsidP="00A47058">
      <w:pPr>
        <w:spacing w:line="240" w:lineRule="auto"/>
        <w:rPr>
          <w:rFonts w:eastAsiaTheme="minorEastAsia"/>
          <w:sz w:val="20"/>
        </w:rPr>
      </w:pPr>
      <w:r>
        <w:rPr>
          <w:rFonts w:eastAsiaTheme="minorEastAsia"/>
          <w:b/>
          <w:sz w:val="20"/>
        </w:rPr>
        <w:t xml:space="preserve">          </w:t>
      </w:r>
      <w:r w:rsidR="008D2552">
        <w:rPr>
          <w:rFonts w:eastAsiaTheme="minorEastAsia"/>
          <w:sz w:val="20"/>
        </w:rPr>
        <w:t>Wyznaczyć fun</w:t>
      </w:r>
      <w:r>
        <w:rPr>
          <w:rFonts w:eastAsiaTheme="minorEastAsia"/>
          <w:sz w:val="20"/>
        </w:rPr>
        <w:t>k</w:t>
      </w:r>
      <w:r w:rsidR="008D2552">
        <w:rPr>
          <w:rFonts w:eastAsiaTheme="minorEastAsia"/>
          <w:sz w:val="20"/>
        </w:rPr>
        <w:t>c</w:t>
      </w:r>
      <w:r>
        <w:rPr>
          <w:rFonts w:eastAsiaTheme="minorEastAsia"/>
          <w:sz w:val="20"/>
        </w:rPr>
        <w:t>ję liniow</w:t>
      </w:r>
      <w:r w:rsidR="008D2552">
        <w:rPr>
          <w:rFonts w:eastAsiaTheme="minorEastAsia"/>
          <w:sz w:val="20"/>
        </w:rPr>
        <w:t>ą obrazującą tendencję rozwojową spożycia mięsa drobiowego w kg na 1 mieszkańca pewnego miasta w latach 1993-2002. Zastosować wzory uproszczone. Proszę zwrócić uwagę na sposób numerowania okresów.</w:t>
      </w:r>
      <w:r w:rsidR="008D2552">
        <w:rPr>
          <w:rFonts w:eastAsiaTheme="minorEastAsia"/>
          <w:sz w:val="20"/>
        </w:rPr>
        <w:br/>
      </w:r>
      <w:r w:rsidR="008D2552">
        <w:rPr>
          <w:noProof/>
          <w:sz w:val="20"/>
          <w:lang w:eastAsia="pl-PL"/>
        </w:rPr>
        <w:drawing>
          <wp:inline distT="0" distB="0" distL="0" distR="0">
            <wp:extent cx="3997976" cy="220027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76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552">
        <w:rPr>
          <w:rFonts w:eastAsiaTheme="minorEastAsia"/>
          <w:sz w:val="20"/>
        </w:rPr>
        <w:br/>
      </w:r>
      <w:r w:rsidR="00406670">
        <w:rPr>
          <w:rFonts w:eastAsiaTheme="minorEastAsia"/>
          <w:sz w:val="20"/>
        </w:rPr>
        <w:br/>
      </w:r>
      <w:r w:rsidR="0035590E">
        <w:rPr>
          <w:rFonts w:eastAsiaTheme="minorEastAsia"/>
          <w:sz w:val="20"/>
        </w:rPr>
        <w:br/>
      </w:r>
      <w:r w:rsidR="0035590E">
        <w:rPr>
          <w:rFonts w:eastAsiaTheme="minorEastAsia"/>
          <w:sz w:val="20"/>
        </w:rPr>
        <w:br/>
      </w:r>
      <w:r w:rsidR="0035590E">
        <w:rPr>
          <w:rFonts w:eastAsiaTheme="minorEastAsia"/>
          <w:sz w:val="20"/>
        </w:rPr>
        <w:br/>
      </w:r>
      <w:r w:rsidR="0035590E">
        <w:rPr>
          <w:rFonts w:eastAsiaTheme="minorEastAsia"/>
          <w:sz w:val="20"/>
        </w:rPr>
        <w:br/>
      </w:r>
      <w:r w:rsidR="0035590E">
        <w:rPr>
          <w:rFonts w:eastAsiaTheme="minorEastAsia"/>
          <w:sz w:val="20"/>
        </w:rPr>
        <w:br/>
      </w:r>
      <w:r w:rsidR="0035590E">
        <w:rPr>
          <w:rFonts w:eastAsiaTheme="minorEastAsia"/>
          <w:sz w:val="20"/>
        </w:rPr>
        <w:br/>
      </w:r>
      <w:r w:rsidR="0035590E">
        <w:rPr>
          <w:rFonts w:eastAsiaTheme="minorEastAsia"/>
          <w:sz w:val="20"/>
        </w:rPr>
        <w:br/>
      </w:r>
      <w:r w:rsidR="0035590E">
        <w:rPr>
          <w:rFonts w:eastAsiaTheme="minorEastAsia"/>
          <w:sz w:val="20"/>
        </w:rPr>
        <w:br/>
      </w:r>
      <w:r w:rsidR="0035590E">
        <w:rPr>
          <w:rFonts w:eastAsiaTheme="minorEastAsia"/>
          <w:sz w:val="20"/>
        </w:rPr>
        <w:lastRenderedPageBreak/>
        <w:br/>
      </w:r>
      <w:r w:rsidR="00406670">
        <w:rPr>
          <w:rFonts w:eastAsiaTheme="minorEastAsia"/>
          <w:sz w:val="20"/>
        </w:rPr>
        <w:t xml:space="preserve">          Przebieg linii trendu przedstawiono na wykresie:</w:t>
      </w:r>
      <w:r w:rsidR="00406670">
        <w:rPr>
          <w:rFonts w:eastAsiaTheme="minorEastAsia"/>
          <w:sz w:val="20"/>
        </w:rPr>
        <w:br/>
      </w:r>
      <w:r w:rsidR="00406670">
        <w:rPr>
          <w:noProof/>
          <w:sz w:val="20"/>
          <w:lang w:eastAsia="pl-PL"/>
        </w:rPr>
        <w:drawing>
          <wp:inline distT="0" distB="0" distL="0" distR="0">
            <wp:extent cx="3676650" cy="2353870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670">
        <w:rPr>
          <w:rFonts w:eastAsiaTheme="minorEastAsia"/>
          <w:sz w:val="20"/>
        </w:rPr>
        <w:br/>
      </w:r>
      <w:r w:rsidR="00406670">
        <w:rPr>
          <w:rFonts w:eastAsiaTheme="minorEastAsia"/>
          <w:sz w:val="20"/>
        </w:rPr>
        <w:br/>
      </w:r>
      <w:r w:rsidR="00643DCD">
        <w:rPr>
          <w:rFonts w:eastAsiaTheme="minorEastAsia"/>
          <w:b/>
          <w:sz w:val="20"/>
        </w:rPr>
        <w:t xml:space="preserve">FUNKCJE </w:t>
      </w:r>
      <w:proofErr w:type="gramStart"/>
      <w:r w:rsidR="00643DCD">
        <w:rPr>
          <w:rFonts w:eastAsiaTheme="minorEastAsia"/>
          <w:b/>
          <w:sz w:val="20"/>
        </w:rPr>
        <w:t>KRZYWOLINIOWE:</w:t>
      </w:r>
      <w:r w:rsidR="00643DCD">
        <w:rPr>
          <w:rFonts w:eastAsiaTheme="minorEastAsia"/>
          <w:b/>
          <w:sz w:val="20"/>
        </w:rPr>
        <w:br/>
        <w:t xml:space="preserve">          </w:t>
      </w:r>
      <w:r w:rsidR="00114EFD">
        <w:rPr>
          <w:rFonts w:eastAsiaTheme="minorEastAsia"/>
          <w:sz w:val="20"/>
        </w:rPr>
        <w:t>Nie</w:t>
      </w:r>
      <w:proofErr w:type="gramEnd"/>
      <w:r w:rsidR="00114EFD">
        <w:rPr>
          <w:rFonts w:eastAsiaTheme="minorEastAsia"/>
          <w:sz w:val="20"/>
        </w:rPr>
        <w:t xml:space="preserve"> w każdym przypadku do analizy zjawiska można zastosować trend liniowy, gdyż może to spowodować duże zniekształcenia w opisie rzeczywistego przebiegu badanego zjawiska. Niektóre procesy rynkowe (np. wprowadzenie na rynek nowego produktu) </w:t>
      </w:r>
      <w:proofErr w:type="gramStart"/>
      <w:r w:rsidR="00114EFD">
        <w:rPr>
          <w:rFonts w:eastAsiaTheme="minorEastAsia"/>
          <w:sz w:val="20"/>
        </w:rPr>
        <w:t>mają bowiem</w:t>
      </w:r>
      <w:proofErr w:type="gramEnd"/>
      <w:r w:rsidR="00114EFD">
        <w:rPr>
          <w:rFonts w:eastAsiaTheme="minorEastAsia"/>
          <w:sz w:val="20"/>
        </w:rPr>
        <w:t xml:space="preserve"> inny przebieg w czasie i wymagają do swego opisu modeli nieliniowych.</w:t>
      </w:r>
    </w:p>
    <w:p w:rsidR="00114EFD" w:rsidRDefault="00114EFD" w:rsidP="00A47058">
      <w:pPr>
        <w:spacing w:line="240" w:lineRule="auto"/>
        <w:rPr>
          <w:rFonts w:eastAsiaTheme="minorEastAsia"/>
          <w:sz w:val="20"/>
        </w:rPr>
      </w:pPr>
      <w:r>
        <w:rPr>
          <w:rFonts w:eastAsiaTheme="minorEastAsia"/>
          <w:sz w:val="20"/>
        </w:rPr>
        <w:t xml:space="preserve">          Do najczęściej stosowanych funkcji krzywoliniowych należą:</w:t>
      </w:r>
    </w:p>
    <w:p w:rsidR="00114EFD" w:rsidRPr="00114EFD" w:rsidRDefault="00114EFD" w:rsidP="00114EFD">
      <w:pPr>
        <w:pStyle w:val="Akapitzlist"/>
        <w:numPr>
          <w:ilvl w:val="0"/>
          <w:numId w:val="6"/>
        </w:numPr>
        <w:spacing w:line="240" w:lineRule="auto"/>
        <w:rPr>
          <w:sz w:val="20"/>
        </w:rPr>
      </w:pPr>
      <w:r>
        <w:rPr>
          <w:b/>
          <w:sz w:val="20"/>
        </w:rPr>
        <w:t xml:space="preserve">Funkcja wykładnicza: </w:t>
      </w:r>
      <w:r w:rsidRPr="00114EFD">
        <w:rPr>
          <w:b/>
          <w:sz w:val="24"/>
        </w:rPr>
        <w:t xml:space="preserve">y = </w:t>
      </w:r>
      <w:proofErr w:type="spellStart"/>
      <w:proofErr w:type="gramStart"/>
      <w:r w:rsidRPr="00114EFD">
        <w:rPr>
          <w:b/>
          <w:sz w:val="24"/>
        </w:rPr>
        <w:t>ab</w:t>
      </w:r>
      <w:r w:rsidRPr="00114EFD">
        <w:rPr>
          <w:b/>
          <w:sz w:val="24"/>
          <w:vertAlign w:val="superscript"/>
        </w:rPr>
        <w:t>t</w:t>
      </w:r>
      <w:proofErr w:type="spellEnd"/>
      <w:r w:rsidRPr="00114EFD">
        <w:rPr>
          <w:b/>
          <w:sz w:val="24"/>
        </w:rPr>
        <w:t xml:space="preserve">   </w:t>
      </w:r>
      <w:r>
        <w:rPr>
          <w:sz w:val="20"/>
        </w:rPr>
        <w:t>lub</w:t>
      </w:r>
      <w:proofErr w:type="gramEnd"/>
      <w:r>
        <w:rPr>
          <w:b/>
          <w:sz w:val="20"/>
        </w:rPr>
        <w:t xml:space="preserve">   </w:t>
      </w:r>
      <w:r w:rsidRPr="00114EFD">
        <w:rPr>
          <w:b/>
          <w:sz w:val="24"/>
        </w:rPr>
        <w:t xml:space="preserve">y = </w:t>
      </w:r>
      <w:proofErr w:type="spellStart"/>
      <w:r w:rsidRPr="00114EFD">
        <w:rPr>
          <w:b/>
          <w:sz w:val="24"/>
        </w:rPr>
        <w:t>ae</w:t>
      </w:r>
      <w:r w:rsidRPr="00114EFD">
        <w:rPr>
          <w:b/>
          <w:sz w:val="24"/>
          <w:vertAlign w:val="superscript"/>
        </w:rPr>
        <w:t>bt</w:t>
      </w:r>
      <w:proofErr w:type="spellEnd"/>
    </w:p>
    <w:p w:rsidR="00114EFD" w:rsidRPr="00114EFD" w:rsidRDefault="00114EFD" w:rsidP="00114EFD">
      <w:pPr>
        <w:pStyle w:val="Akapitzlist"/>
        <w:numPr>
          <w:ilvl w:val="0"/>
          <w:numId w:val="6"/>
        </w:numPr>
        <w:spacing w:line="240" w:lineRule="auto"/>
        <w:rPr>
          <w:sz w:val="20"/>
        </w:rPr>
      </w:pPr>
      <w:r>
        <w:rPr>
          <w:b/>
          <w:sz w:val="20"/>
        </w:rPr>
        <w:t xml:space="preserve">Funkcja potęgowa: </w:t>
      </w:r>
      <w:r w:rsidRPr="00114EFD">
        <w:rPr>
          <w:b/>
          <w:sz w:val="24"/>
        </w:rPr>
        <w:t xml:space="preserve">y = </w:t>
      </w:r>
      <w:proofErr w:type="spellStart"/>
      <w:r w:rsidRPr="00114EFD">
        <w:rPr>
          <w:b/>
          <w:sz w:val="24"/>
        </w:rPr>
        <w:t>at</w:t>
      </w:r>
      <w:r w:rsidRPr="00114EFD">
        <w:rPr>
          <w:b/>
          <w:sz w:val="24"/>
          <w:vertAlign w:val="superscript"/>
        </w:rPr>
        <w:t>b</w:t>
      </w:r>
      <w:proofErr w:type="spellEnd"/>
    </w:p>
    <w:p w:rsidR="00114EFD" w:rsidRDefault="00114EFD" w:rsidP="00114EFD">
      <w:pPr>
        <w:pStyle w:val="Akapitzlist"/>
        <w:numPr>
          <w:ilvl w:val="0"/>
          <w:numId w:val="6"/>
        </w:numPr>
        <w:spacing w:line="240" w:lineRule="auto"/>
        <w:rPr>
          <w:sz w:val="20"/>
        </w:rPr>
      </w:pPr>
      <w:r>
        <w:rPr>
          <w:b/>
          <w:sz w:val="20"/>
        </w:rPr>
        <w:t xml:space="preserve">Funkcja paraboliczna (parabola): </w:t>
      </w:r>
      <w:r w:rsidRPr="00114EFD">
        <w:rPr>
          <w:b/>
          <w:sz w:val="24"/>
        </w:rPr>
        <w:t xml:space="preserve">y = a + </w:t>
      </w:r>
      <w:proofErr w:type="spellStart"/>
      <w:r w:rsidRPr="00114EFD">
        <w:rPr>
          <w:b/>
          <w:sz w:val="24"/>
        </w:rPr>
        <w:t>bt</w:t>
      </w:r>
      <w:proofErr w:type="spellEnd"/>
      <w:r w:rsidRPr="00114EFD">
        <w:rPr>
          <w:b/>
          <w:sz w:val="24"/>
        </w:rPr>
        <w:t xml:space="preserve"> + ct</w:t>
      </w:r>
      <w:r w:rsidRPr="00114EFD">
        <w:rPr>
          <w:b/>
          <w:sz w:val="24"/>
          <w:vertAlign w:val="superscript"/>
        </w:rPr>
        <w:t>2</w:t>
      </w:r>
    </w:p>
    <w:p w:rsidR="00E877CB" w:rsidRPr="00DE1C2B" w:rsidRDefault="00D611E5" w:rsidP="00D611E5">
      <w:pPr>
        <w:spacing w:line="240" w:lineRule="auto"/>
        <w:rPr>
          <w:b/>
          <w:sz w:val="20"/>
        </w:rPr>
      </w:pPr>
      <w:r>
        <w:rPr>
          <w:b/>
          <w:sz w:val="20"/>
        </w:rPr>
        <w:t xml:space="preserve">Funkcja </w:t>
      </w:r>
      <w:proofErr w:type="gramStart"/>
      <w:r>
        <w:rPr>
          <w:b/>
          <w:sz w:val="20"/>
        </w:rPr>
        <w:t>wykładnicza:</w:t>
      </w:r>
      <w:r w:rsidR="00DE1C2B">
        <w:rPr>
          <w:b/>
          <w:sz w:val="20"/>
        </w:rPr>
        <w:br/>
        <w:t xml:space="preserve">          </w:t>
      </w:r>
      <w:r>
        <w:rPr>
          <w:sz w:val="20"/>
        </w:rPr>
        <w:t>Niewątpliwą</w:t>
      </w:r>
      <w:proofErr w:type="gramEnd"/>
      <w:r>
        <w:rPr>
          <w:sz w:val="20"/>
        </w:rPr>
        <w:t xml:space="preserve"> zaletą </w:t>
      </w:r>
      <w:r>
        <w:rPr>
          <w:b/>
          <w:sz w:val="20"/>
        </w:rPr>
        <w:t xml:space="preserve">funkcji wykładniczej </w:t>
      </w:r>
      <w:r>
        <w:rPr>
          <w:sz w:val="20"/>
        </w:rPr>
        <w:t>jest możliwość (i łatwość) obliczenia średniego rocznego tempa rozwoju zjawiska w czasie. Taka informacja może być przydatna np. przy porównywaniu rozwoju wielu różnorodnych zjawisk gospodarczych.</w:t>
      </w:r>
      <w:r>
        <w:rPr>
          <w:sz w:val="20"/>
        </w:rPr>
        <w:br/>
        <w:t xml:space="preserve">          Obliczeń przeciętnego tempa przebiegu analizowanego zjawiska dokonuje się za pomocą wzoru: </w:t>
      </w:r>
      <w:proofErr w:type="spellStart"/>
      <w:r>
        <w:rPr>
          <w:b/>
          <w:sz w:val="24"/>
        </w:rPr>
        <w:t>I</w:t>
      </w:r>
      <w:r>
        <w:rPr>
          <w:b/>
          <w:sz w:val="24"/>
          <w:vertAlign w:val="subscript"/>
        </w:rPr>
        <w:t>p</w:t>
      </w:r>
      <w:proofErr w:type="spellEnd"/>
      <w:r>
        <w:rPr>
          <w:b/>
          <w:sz w:val="24"/>
        </w:rPr>
        <w:t xml:space="preserve"> = b * 100 – 100</w:t>
      </w:r>
      <w:r>
        <w:rPr>
          <w:b/>
          <w:sz w:val="24"/>
        </w:rPr>
        <w:br/>
      </w:r>
      <w:r w:rsidR="002372E8" w:rsidRPr="002372E8">
        <w:rPr>
          <w:sz w:val="20"/>
        </w:rPr>
        <w:t xml:space="preserve">gdzie: </w:t>
      </w:r>
      <w:proofErr w:type="spellStart"/>
      <w:proofErr w:type="gramStart"/>
      <w:r w:rsidR="002372E8" w:rsidRPr="002372E8">
        <w:rPr>
          <w:sz w:val="20"/>
        </w:rPr>
        <w:t>I</w:t>
      </w:r>
      <w:r w:rsidR="002372E8" w:rsidRPr="002372E8">
        <w:rPr>
          <w:sz w:val="20"/>
          <w:vertAlign w:val="subscript"/>
        </w:rPr>
        <w:t>p</w:t>
      </w:r>
      <w:proofErr w:type="spellEnd"/>
      <w:r w:rsidR="002372E8" w:rsidRPr="002372E8">
        <w:rPr>
          <w:sz w:val="20"/>
          <w:vertAlign w:val="subscript"/>
        </w:rPr>
        <w:t xml:space="preserve"> </w:t>
      </w:r>
      <w:r w:rsidR="002372E8" w:rsidRPr="002372E8">
        <w:rPr>
          <w:sz w:val="20"/>
        </w:rPr>
        <w:t xml:space="preserve"> - przeciętne</w:t>
      </w:r>
      <w:proofErr w:type="gramEnd"/>
      <w:r w:rsidR="002372E8" w:rsidRPr="002372E8">
        <w:rPr>
          <w:sz w:val="20"/>
        </w:rPr>
        <w:t xml:space="preserve"> tempo wzrostu (spadku).</w:t>
      </w:r>
      <w:r w:rsidR="002372E8">
        <w:rPr>
          <w:b/>
          <w:sz w:val="20"/>
        </w:rPr>
        <w:br/>
        <w:t xml:space="preserve">          </w:t>
      </w:r>
      <w:r w:rsidR="002372E8" w:rsidRPr="00DE0A34">
        <w:rPr>
          <w:sz w:val="20"/>
        </w:rPr>
        <w:t xml:space="preserve">Jeżeli wartość </w:t>
      </w:r>
      <w:r w:rsidR="00DE0A34">
        <w:rPr>
          <w:sz w:val="20"/>
        </w:rPr>
        <w:t xml:space="preserve">tego wyrażenia jest większa od zera, to tempo wzrostu jest dodatnie, </w:t>
      </w:r>
      <w:proofErr w:type="gramStart"/>
      <w:r w:rsidR="00DE0A34">
        <w:rPr>
          <w:sz w:val="20"/>
        </w:rPr>
        <w:t>natomiast gdy</w:t>
      </w:r>
      <w:proofErr w:type="gramEnd"/>
      <w:r w:rsidR="00DE0A34">
        <w:rPr>
          <w:sz w:val="20"/>
        </w:rPr>
        <w:t xml:space="preserve"> wartość wyrażenia jest mniejsza od zer</w:t>
      </w:r>
      <w:bookmarkStart w:id="0" w:name="_GoBack"/>
      <w:bookmarkEnd w:id="0"/>
      <w:r w:rsidR="00DE0A34">
        <w:rPr>
          <w:sz w:val="20"/>
        </w:rPr>
        <w:t>a, wówczas przeciętne tempo wzrostu ma wartość ujemną (mówi się o średnim tempie spadku).</w:t>
      </w:r>
      <w:r w:rsidR="00DE0A34">
        <w:rPr>
          <w:sz w:val="20"/>
        </w:rPr>
        <w:br/>
        <w:t xml:space="preserve">          Parametry funkcji wykładniczej szacuje się metodą najmniejszych kwadratów. W tym celu sprowadza się ją do postaci liniowej poprzez obustronne logarytmowanie:</w:t>
      </w:r>
      <w:r w:rsidR="00DE0A34">
        <w:rPr>
          <w:sz w:val="20"/>
        </w:rPr>
        <w:br/>
      </w:r>
      <w:r w:rsidR="0035590E">
        <w:rPr>
          <w:b/>
          <w:sz w:val="24"/>
        </w:rPr>
        <w:t xml:space="preserve">y = </w:t>
      </w:r>
      <w:proofErr w:type="spellStart"/>
      <w:proofErr w:type="gramStart"/>
      <w:r w:rsidR="0035590E">
        <w:rPr>
          <w:b/>
          <w:sz w:val="24"/>
        </w:rPr>
        <w:t>ab</w:t>
      </w:r>
      <w:r w:rsidR="0035590E">
        <w:rPr>
          <w:b/>
          <w:sz w:val="24"/>
          <w:vertAlign w:val="superscript"/>
        </w:rPr>
        <w:t>t</w:t>
      </w:r>
      <w:proofErr w:type="spellEnd"/>
      <w:r w:rsidR="0035590E">
        <w:rPr>
          <w:b/>
          <w:sz w:val="24"/>
        </w:rPr>
        <w:t xml:space="preserve">     </w:t>
      </w:r>
      <w:r w:rsidR="0035590E" w:rsidRPr="0035590E">
        <w:rPr>
          <w:b/>
          <w:sz w:val="24"/>
        </w:rPr>
        <w:sym w:font="Wingdings" w:char="F0E0"/>
      </w:r>
      <w:r w:rsidR="0035590E">
        <w:rPr>
          <w:b/>
          <w:sz w:val="24"/>
        </w:rPr>
        <w:t xml:space="preserve">     log</w:t>
      </w:r>
      <w:proofErr w:type="gramEnd"/>
      <w:r w:rsidR="0035590E">
        <w:rPr>
          <w:b/>
          <w:sz w:val="24"/>
        </w:rPr>
        <w:t xml:space="preserve"> y = log a + t * log b</w:t>
      </w:r>
      <w:r w:rsidR="0035590E">
        <w:rPr>
          <w:b/>
          <w:sz w:val="24"/>
        </w:rPr>
        <w:br/>
        <w:t xml:space="preserve">          </w:t>
      </w:r>
      <w:r w:rsidR="0035590E">
        <w:rPr>
          <w:sz w:val="20"/>
        </w:rPr>
        <w:t>Na tej podstawie przekształca się wzory na parametry funkcji liniowej (za a i b podstawia się odpowiednio wyrażenia log a i log b):</w:t>
      </w:r>
      <w:r w:rsidR="0035590E">
        <w:rPr>
          <w:sz w:val="20"/>
        </w:rPr>
        <w:br/>
      </w:r>
      <w:r w:rsidR="0035590E">
        <w:rPr>
          <w:b/>
          <w:sz w:val="24"/>
        </w:rPr>
        <w:t xml:space="preserve">  log a =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</w:rPr>
              <m:t>Σ log y-log b Σ t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</w:rPr>
              <m:t>N</m:t>
            </m:r>
          </m:den>
        </m:f>
      </m:oMath>
      <w:r w:rsidR="0035590E">
        <w:rPr>
          <w:rFonts w:eastAsiaTheme="minorEastAsia"/>
          <w:b/>
          <w:sz w:val="24"/>
        </w:rPr>
        <w:t xml:space="preserve">            </w:t>
      </w:r>
      <w:r w:rsidR="0035590E">
        <w:rPr>
          <w:b/>
          <w:sz w:val="24"/>
        </w:rPr>
        <w:t>log b</w:t>
      </w:r>
      <w:r w:rsidR="0035590E">
        <w:rPr>
          <w:b/>
          <w:sz w:val="24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</w:rPr>
              <m:t xml:space="preserve">N 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Σ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 xml:space="preserve"> t* 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log y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 xml:space="preserve">log 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y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 xml:space="preserve"> Σ t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</w:rPr>
              <m:t>N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 xml:space="preserve"> Σ t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2-</m:t>
            </m:r>
            <m:d>
              <m:dPr>
                <m:ctrlPr>
                  <w:rPr>
                    <w:rFonts w:ascii="Cambria Math" w:hAnsi="Cambria Math"/>
                    <w:b/>
                    <w:i/>
                    <w:sz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Σ t</m:t>
                </m:r>
              </m:e>
            </m:d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den>
        </m:f>
      </m:oMath>
      <w:r w:rsidR="0035590E">
        <w:rPr>
          <w:rFonts w:eastAsiaTheme="minorEastAsia"/>
          <w:b/>
          <w:sz w:val="24"/>
        </w:rPr>
        <w:t xml:space="preserve">      </w:t>
      </w:r>
      <w:r w:rsidR="0035590E">
        <w:rPr>
          <w:rFonts w:eastAsiaTheme="minorEastAsia"/>
          <w:b/>
          <w:sz w:val="24"/>
        </w:rPr>
        <w:br/>
        <w:t xml:space="preserve">          </w:t>
      </w:r>
      <w:r w:rsidR="00DE1C2B">
        <w:rPr>
          <w:rFonts w:eastAsiaTheme="minorEastAsia"/>
          <w:b/>
          <w:sz w:val="24"/>
        </w:rPr>
        <w:br/>
      </w:r>
      <w:r w:rsidR="0035590E">
        <w:rPr>
          <w:rFonts w:eastAsiaTheme="minorEastAsia"/>
          <w:sz w:val="20"/>
        </w:rPr>
        <w:t xml:space="preserve">Wartości a i b oblicza się następująco: </w:t>
      </w:r>
      <w:r w:rsidR="0035590E">
        <w:rPr>
          <w:rFonts w:eastAsiaTheme="minorEastAsia"/>
          <w:b/>
          <w:sz w:val="24"/>
        </w:rPr>
        <w:t>a = 10</w:t>
      </w:r>
      <w:r w:rsidR="0035590E">
        <w:rPr>
          <w:rFonts w:eastAsiaTheme="minorEastAsia"/>
          <w:b/>
          <w:sz w:val="24"/>
          <w:vertAlign w:val="superscript"/>
        </w:rPr>
        <w:t>log a</w:t>
      </w:r>
      <w:r w:rsidR="0035590E">
        <w:rPr>
          <w:rFonts w:eastAsiaTheme="minorEastAsia"/>
          <w:b/>
          <w:sz w:val="24"/>
        </w:rPr>
        <w:t xml:space="preserve">          b = 10</w:t>
      </w:r>
      <w:r w:rsidR="0035590E">
        <w:rPr>
          <w:rFonts w:eastAsiaTheme="minorEastAsia"/>
          <w:b/>
          <w:sz w:val="24"/>
          <w:vertAlign w:val="superscript"/>
        </w:rPr>
        <w:t>log b</w:t>
      </w:r>
      <w:r w:rsidR="0035590E">
        <w:rPr>
          <w:rFonts w:eastAsiaTheme="minorEastAsia"/>
          <w:b/>
          <w:sz w:val="24"/>
          <w:vertAlign w:val="superscript"/>
        </w:rPr>
        <w:br/>
      </w:r>
      <w:r w:rsidR="00DE1C2B">
        <w:rPr>
          <w:b/>
          <w:sz w:val="20"/>
        </w:rPr>
        <w:br/>
      </w:r>
      <w:r w:rsidR="0035590E">
        <w:rPr>
          <w:b/>
          <w:sz w:val="20"/>
        </w:rPr>
        <w:t>Przykład 4.</w:t>
      </w:r>
      <w:r w:rsidR="0035590E">
        <w:rPr>
          <w:b/>
          <w:sz w:val="20"/>
        </w:rPr>
        <w:br/>
      </w:r>
      <w:r w:rsidR="0035590E">
        <w:rPr>
          <w:sz w:val="20"/>
        </w:rPr>
        <w:t>Wyznaczyć funkcję wykładniczą obrazującą tendencję rozwojową sprzedaży opon do samochodów osobowych w hurtowni „TIRE” w latach 1993-2002. W tablicy przedstawiono obliczenia.</w:t>
      </w:r>
      <w:r w:rsidR="0035590E">
        <w:rPr>
          <w:sz w:val="20"/>
        </w:rPr>
        <w:br/>
      </w:r>
      <w:r w:rsidR="0035590E">
        <w:rPr>
          <w:noProof/>
          <w:sz w:val="20"/>
          <w:lang w:eastAsia="pl-PL"/>
        </w:rPr>
        <w:drawing>
          <wp:inline distT="0" distB="0" distL="0" distR="0" wp14:anchorId="0E519511" wp14:editId="6AD06824">
            <wp:extent cx="3816125" cy="24098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1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7CB">
        <w:rPr>
          <w:sz w:val="20"/>
        </w:rPr>
        <w:br/>
      </w:r>
      <w:r w:rsidR="00E877CB">
        <w:rPr>
          <w:b/>
          <w:sz w:val="20"/>
        </w:rPr>
        <w:lastRenderedPageBreak/>
        <w:t xml:space="preserve">Funkcja </w:t>
      </w:r>
      <w:proofErr w:type="gramStart"/>
      <w:r w:rsidR="00E877CB">
        <w:rPr>
          <w:b/>
          <w:sz w:val="20"/>
        </w:rPr>
        <w:t>potęgowa:</w:t>
      </w:r>
      <w:r w:rsidR="00E877CB">
        <w:rPr>
          <w:b/>
          <w:sz w:val="20"/>
        </w:rPr>
        <w:br/>
        <w:t xml:space="preserve">          </w:t>
      </w:r>
      <w:r w:rsidR="00E877CB">
        <w:rPr>
          <w:sz w:val="20"/>
        </w:rPr>
        <w:t>Interesujących</w:t>
      </w:r>
      <w:proofErr w:type="gramEnd"/>
      <w:r w:rsidR="00E877CB">
        <w:rPr>
          <w:sz w:val="20"/>
        </w:rPr>
        <w:t xml:space="preserve"> informacji ekonomicznych dotyczą również analiza parametrów funkcji potęgowej. Jej wykładnik informuje badacza o dwóch rodzajach zależności:</w:t>
      </w:r>
    </w:p>
    <w:p w:rsidR="00E877CB" w:rsidRDefault="00E877CB" w:rsidP="00E877CB">
      <w:pPr>
        <w:pStyle w:val="Akapitzlist"/>
        <w:numPr>
          <w:ilvl w:val="0"/>
          <w:numId w:val="7"/>
        </w:numPr>
        <w:spacing w:line="240" w:lineRule="auto"/>
        <w:rPr>
          <w:sz w:val="20"/>
        </w:rPr>
      </w:pPr>
      <w:r>
        <w:rPr>
          <w:sz w:val="20"/>
        </w:rPr>
        <w:t>Wartość bezwzględna parametru b mówi o sile elastycznego badanego zjawiska względem czasu (</w:t>
      </w:r>
      <w:proofErr w:type="gramStart"/>
      <w:r>
        <w:rPr>
          <w:sz w:val="20"/>
        </w:rPr>
        <w:t>przyrost  czasu</w:t>
      </w:r>
      <w:proofErr w:type="gramEnd"/>
      <w:r>
        <w:rPr>
          <w:sz w:val="20"/>
        </w:rPr>
        <w:t>(t) o 1% powoduje wzrost zjawiska (y) o b%);</w:t>
      </w:r>
    </w:p>
    <w:p w:rsidR="00E877CB" w:rsidRDefault="00E877CB" w:rsidP="00E877CB">
      <w:pPr>
        <w:pStyle w:val="Akapitzlist"/>
        <w:numPr>
          <w:ilvl w:val="0"/>
          <w:numId w:val="7"/>
        </w:numPr>
        <w:spacing w:line="240" w:lineRule="auto"/>
        <w:rPr>
          <w:sz w:val="20"/>
        </w:rPr>
      </w:pPr>
      <w:r>
        <w:rPr>
          <w:sz w:val="20"/>
        </w:rPr>
        <w:t>Znak przy parametrze b informuje, czy jest to zależność wprost proporcjonalna (b&gt;0), czy odwrotnie proporcjonalna (b&lt;0).</w:t>
      </w:r>
    </w:p>
    <w:p w:rsidR="00D611E5" w:rsidRPr="00E877CB" w:rsidRDefault="00E877CB" w:rsidP="00E877CB">
      <w:pPr>
        <w:spacing w:line="240" w:lineRule="auto"/>
        <w:rPr>
          <w:sz w:val="20"/>
        </w:rPr>
      </w:pPr>
      <w:r>
        <w:rPr>
          <w:sz w:val="20"/>
        </w:rPr>
        <w:t xml:space="preserve">          Parametry funkcji potęgowej szacuje się, podobnie jak w przypadku funkcji wykładniczej, metodą najmniejszych kwadratów. Konieczne staje się zatem doprowadzenie jej do postaci liniowej poprzez obustronne logarytmowanie:</w:t>
      </w:r>
      <w:r>
        <w:rPr>
          <w:sz w:val="20"/>
        </w:rPr>
        <w:br/>
      </w:r>
      <w:r>
        <w:rPr>
          <w:b/>
          <w:sz w:val="24"/>
        </w:rPr>
        <w:t xml:space="preserve">y = </w:t>
      </w:r>
      <w:proofErr w:type="spellStart"/>
      <w:proofErr w:type="gramStart"/>
      <w:r>
        <w:rPr>
          <w:b/>
          <w:sz w:val="24"/>
        </w:rPr>
        <w:t>at</w:t>
      </w:r>
      <w:r>
        <w:rPr>
          <w:b/>
          <w:sz w:val="24"/>
          <w:vertAlign w:val="superscript"/>
        </w:rPr>
        <w:t>b</w:t>
      </w:r>
      <w:proofErr w:type="spellEnd"/>
      <w:r>
        <w:rPr>
          <w:b/>
          <w:sz w:val="24"/>
        </w:rPr>
        <w:t xml:space="preserve">     &gt;&gt;     log</w:t>
      </w:r>
      <w:proofErr w:type="gramEnd"/>
      <w:r>
        <w:rPr>
          <w:b/>
          <w:sz w:val="24"/>
        </w:rPr>
        <w:t xml:space="preserve"> y = log a + b * log t</w:t>
      </w:r>
      <w:r>
        <w:rPr>
          <w:b/>
          <w:sz w:val="24"/>
        </w:rPr>
        <w:br/>
        <w:t xml:space="preserve">         </w:t>
      </w:r>
      <w:r w:rsidR="00DE1C2B">
        <w:rPr>
          <w:b/>
          <w:sz w:val="24"/>
        </w:rPr>
        <w:br/>
        <w:t xml:space="preserve">          </w:t>
      </w:r>
      <w:r>
        <w:rPr>
          <w:b/>
          <w:sz w:val="24"/>
        </w:rPr>
        <w:t xml:space="preserve"> </w:t>
      </w:r>
      <w:r>
        <w:rPr>
          <w:sz w:val="20"/>
        </w:rPr>
        <w:t>Na tej podstawie, za pomocą wzorów na parametry funkcji liniowej, wyznacza się wzory na obliczenie wartości log a i b:</w:t>
      </w:r>
      <w:r>
        <w:rPr>
          <w:sz w:val="20"/>
        </w:rPr>
        <w:br/>
      </w:r>
      <w:r>
        <w:rPr>
          <w:b/>
          <w:sz w:val="24"/>
        </w:rPr>
        <w:t xml:space="preserve">log a =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</w:rPr>
              <m:t>Σ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 xml:space="preserve"> log y-b 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Σ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 xml:space="preserve"> log t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</w:rPr>
              <m:t>N</m:t>
            </m:r>
          </m:den>
        </m:f>
      </m:oMath>
      <w:r>
        <w:rPr>
          <w:sz w:val="20"/>
        </w:rPr>
        <w:t xml:space="preserve">                       </w:t>
      </w:r>
      <w:r>
        <w:rPr>
          <w:b/>
          <w:sz w:val="24"/>
        </w:rPr>
        <w:t xml:space="preserve">b </w:t>
      </w:r>
      <w:r>
        <w:rPr>
          <w:b/>
          <w:sz w:val="24"/>
        </w:rPr>
        <w:t>=</w:t>
      </w:r>
      <w:r>
        <w:rPr>
          <w:b/>
          <w:sz w:val="24"/>
        </w:rPr>
        <w:t xml:space="preserve"> </w:t>
      </w:r>
      <w:r>
        <w:rPr>
          <w:b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</w:rPr>
              <m:t xml:space="preserve">N 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 xml:space="preserve">Σ log 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 xml:space="preserve">t log y- 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Σ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 xml:space="preserve"> log y 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Σ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 xml:space="preserve"> log 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t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</w:rPr>
              <m:t>N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Σ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 xml:space="preserve"> log t</m:t>
            </m:r>
            <m:r>
              <m:rPr>
                <m:sty m:val="bi"/>
              </m:rPr>
              <w:rPr>
                <w:rFonts w:ascii="Cambria Math" w:hAnsi="Cambria Math"/>
                <w:sz w:val="24"/>
              </w:rPr>
              <m:t>2-</m:t>
            </m:r>
            <m:d>
              <m:dPr>
                <m:ctrlPr>
                  <w:rPr>
                    <w:rFonts w:ascii="Cambria Math" w:hAnsi="Cambria Math"/>
                    <w:b/>
                    <w:i/>
                    <w:sz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Σ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 xml:space="preserve">log t </m:t>
                </m:r>
              </m:e>
            </m:d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den>
        </m:f>
      </m:oMath>
      <w:r w:rsidRPr="00E877CB">
        <w:rPr>
          <w:sz w:val="20"/>
        </w:rPr>
        <w:br/>
      </w:r>
      <w:r>
        <w:rPr>
          <w:sz w:val="20"/>
        </w:rPr>
        <w:t xml:space="preserve">          </w:t>
      </w:r>
      <w:r w:rsidR="00DE1C2B">
        <w:rPr>
          <w:sz w:val="20"/>
        </w:rPr>
        <w:br/>
      </w:r>
      <w:r>
        <w:rPr>
          <w:sz w:val="20"/>
        </w:rPr>
        <w:t xml:space="preserve">Wartość a oblicza się następująco: </w:t>
      </w:r>
      <w:r>
        <w:rPr>
          <w:b/>
          <w:sz w:val="24"/>
        </w:rPr>
        <w:t>a = 10</w:t>
      </w:r>
      <w:r>
        <w:rPr>
          <w:b/>
          <w:sz w:val="24"/>
          <w:vertAlign w:val="superscript"/>
        </w:rPr>
        <w:t>log a</w:t>
      </w:r>
      <w:r>
        <w:rPr>
          <w:b/>
          <w:sz w:val="24"/>
        </w:rPr>
        <w:br/>
      </w:r>
      <w:r w:rsidR="00DE1C2B">
        <w:rPr>
          <w:b/>
          <w:sz w:val="20"/>
        </w:rPr>
        <w:br/>
      </w:r>
      <w:r>
        <w:rPr>
          <w:b/>
          <w:sz w:val="20"/>
        </w:rPr>
        <w:t>Zadanie 1.</w:t>
      </w:r>
      <w:r>
        <w:rPr>
          <w:b/>
          <w:sz w:val="20"/>
        </w:rPr>
        <w:br/>
      </w:r>
      <w:r>
        <w:rPr>
          <w:sz w:val="20"/>
        </w:rPr>
        <w:t>Oszacować parametry trendu obrazującego przebieg spożycia tłuszczów roślinnych (w kg) na 1 mieszkańca w latach 1990-1999.</w:t>
      </w:r>
      <w:r>
        <w:rPr>
          <w:sz w:val="20"/>
        </w:rPr>
        <w:br/>
      </w:r>
      <w:r>
        <w:rPr>
          <w:noProof/>
          <w:sz w:val="20"/>
          <w:lang w:eastAsia="pl-PL"/>
        </w:rPr>
        <w:drawing>
          <wp:inline distT="0" distB="0" distL="0" distR="0">
            <wp:extent cx="4004684" cy="29241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684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11E5" w:rsidRPr="00E877CB" w:rsidSect="00CA547F">
      <w:footerReference w:type="default" r:id="rId16"/>
      <w:pgSz w:w="11906" w:h="16838"/>
      <w:pgMar w:top="284" w:right="424" w:bottom="284" w:left="284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19F" w:rsidRDefault="009D119F" w:rsidP="00E877CB">
      <w:pPr>
        <w:spacing w:after="0" w:line="240" w:lineRule="auto"/>
      </w:pPr>
      <w:r>
        <w:separator/>
      </w:r>
    </w:p>
  </w:endnote>
  <w:endnote w:type="continuationSeparator" w:id="0">
    <w:p w:rsidR="009D119F" w:rsidRDefault="009D119F" w:rsidP="00E87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4059368"/>
      <w:docPartObj>
        <w:docPartGallery w:val="Page Numbers (Bottom of Page)"/>
        <w:docPartUnique/>
      </w:docPartObj>
    </w:sdtPr>
    <w:sdtContent>
      <w:p w:rsidR="00E877CB" w:rsidRDefault="00E877C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1C2B">
          <w:rPr>
            <w:noProof/>
          </w:rPr>
          <w:t>6</w:t>
        </w:r>
        <w:r>
          <w:fldChar w:fldCharType="end"/>
        </w:r>
      </w:p>
    </w:sdtContent>
  </w:sdt>
  <w:p w:rsidR="00E877CB" w:rsidRDefault="00E877C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19F" w:rsidRDefault="009D119F" w:rsidP="00E877CB">
      <w:pPr>
        <w:spacing w:after="0" w:line="240" w:lineRule="auto"/>
      </w:pPr>
      <w:r>
        <w:separator/>
      </w:r>
    </w:p>
  </w:footnote>
  <w:footnote w:type="continuationSeparator" w:id="0">
    <w:p w:rsidR="009D119F" w:rsidRDefault="009D119F" w:rsidP="00E877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A0CB4"/>
    <w:multiLevelType w:val="hybridMultilevel"/>
    <w:tmpl w:val="5DA02B1A"/>
    <w:lvl w:ilvl="0" w:tplc="071062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3D6DD8"/>
    <w:multiLevelType w:val="hybridMultilevel"/>
    <w:tmpl w:val="FACAE1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C42AB"/>
    <w:multiLevelType w:val="hybridMultilevel"/>
    <w:tmpl w:val="C1BA6F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8444F8"/>
    <w:multiLevelType w:val="hybridMultilevel"/>
    <w:tmpl w:val="31F62F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33393E"/>
    <w:multiLevelType w:val="hybridMultilevel"/>
    <w:tmpl w:val="FACAE1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C70E5F"/>
    <w:multiLevelType w:val="hybridMultilevel"/>
    <w:tmpl w:val="14C402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A43F6B"/>
    <w:multiLevelType w:val="hybridMultilevel"/>
    <w:tmpl w:val="46F812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98"/>
    <w:rsid w:val="000021DC"/>
    <w:rsid w:val="000D28D1"/>
    <w:rsid w:val="00114EFD"/>
    <w:rsid w:val="002372E8"/>
    <w:rsid w:val="002A7164"/>
    <w:rsid w:val="00305CFC"/>
    <w:rsid w:val="0035590E"/>
    <w:rsid w:val="00406670"/>
    <w:rsid w:val="00587D98"/>
    <w:rsid w:val="005F3F02"/>
    <w:rsid w:val="00643DCD"/>
    <w:rsid w:val="00684288"/>
    <w:rsid w:val="007457D3"/>
    <w:rsid w:val="00844033"/>
    <w:rsid w:val="008B6697"/>
    <w:rsid w:val="008D2552"/>
    <w:rsid w:val="008D25CA"/>
    <w:rsid w:val="008E295F"/>
    <w:rsid w:val="0094348F"/>
    <w:rsid w:val="009C2299"/>
    <w:rsid w:val="009D119F"/>
    <w:rsid w:val="00A47058"/>
    <w:rsid w:val="00A654A3"/>
    <w:rsid w:val="00AA79BA"/>
    <w:rsid w:val="00AC719B"/>
    <w:rsid w:val="00BB003C"/>
    <w:rsid w:val="00C42EE0"/>
    <w:rsid w:val="00CA547F"/>
    <w:rsid w:val="00D611E5"/>
    <w:rsid w:val="00DE0A34"/>
    <w:rsid w:val="00DE1C2B"/>
    <w:rsid w:val="00E15127"/>
    <w:rsid w:val="00E877CB"/>
    <w:rsid w:val="00F3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87D9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6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4A3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BB003C"/>
    <w:rPr>
      <w:color w:val="808080"/>
    </w:rPr>
  </w:style>
  <w:style w:type="table" w:styleId="Tabela-Siatka">
    <w:name w:val="Table Grid"/>
    <w:basedOn w:val="Standardowy"/>
    <w:uiPriority w:val="59"/>
    <w:rsid w:val="009434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E87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77CB"/>
  </w:style>
  <w:style w:type="paragraph" w:styleId="Stopka">
    <w:name w:val="footer"/>
    <w:basedOn w:val="Normalny"/>
    <w:link w:val="StopkaZnak"/>
    <w:uiPriority w:val="99"/>
    <w:unhideWhenUsed/>
    <w:rsid w:val="00E87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77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87D9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6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4A3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BB003C"/>
    <w:rPr>
      <w:color w:val="808080"/>
    </w:rPr>
  </w:style>
  <w:style w:type="table" w:styleId="Tabela-Siatka">
    <w:name w:val="Table Grid"/>
    <w:basedOn w:val="Standardowy"/>
    <w:uiPriority w:val="59"/>
    <w:rsid w:val="009434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E87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77CB"/>
  </w:style>
  <w:style w:type="paragraph" w:styleId="Stopka">
    <w:name w:val="footer"/>
    <w:basedOn w:val="Normalny"/>
    <w:link w:val="StopkaZnak"/>
    <w:uiPriority w:val="99"/>
    <w:unhideWhenUsed/>
    <w:rsid w:val="00E87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77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396"/>
    <w:rsid w:val="00133396"/>
    <w:rsid w:val="00E7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33396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3339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6</Pages>
  <Words>1657</Words>
  <Characters>9948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Pipka</dc:creator>
  <cp:lastModifiedBy>Pipka</cp:lastModifiedBy>
  <cp:revision>23</cp:revision>
  <dcterms:created xsi:type="dcterms:W3CDTF">2013-03-16T15:42:00Z</dcterms:created>
  <dcterms:modified xsi:type="dcterms:W3CDTF">2013-03-17T15:53:00Z</dcterms:modified>
</cp:coreProperties>
</file>